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84E60" w:rsidRPr="00DE00D2" w:rsidRDefault="00DA4085" w:rsidP="00DA4085">
      <w:pPr>
        <w:pStyle w:val="Titel"/>
        <w:rPr>
          <w:lang w:val="en-US"/>
        </w:rPr>
      </w:pPr>
      <w:r w:rsidRPr="00DE00D2">
        <w:rPr>
          <w:lang w:val="en-US"/>
        </w:rPr>
        <w:t>Insolvency Statue</w:t>
      </w:r>
      <w:r w:rsidRPr="00DE00D2">
        <w:rPr>
          <w:lang w:val="en-US"/>
        </w:rPr>
        <w:tab/>
      </w:r>
      <w:r w:rsidRPr="00DE00D2">
        <w:rPr>
          <w:lang w:val="en-US"/>
        </w:rPr>
        <w:tab/>
        <w:t>Lang Martin</w:t>
      </w:r>
    </w:p>
    <w:p w:rsidR="00DA4085" w:rsidRPr="00DE00D2" w:rsidRDefault="00DA4085" w:rsidP="00DA4085">
      <w:pPr>
        <w:pStyle w:val="berschrift1"/>
        <w:rPr>
          <w:lang w:val="en-US"/>
        </w:rPr>
      </w:pPr>
      <w:r w:rsidRPr="00DE00D2">
        <w:rPr>
          <w:lang w:val="en-US"/>
        </w:rPr>
        <w:t>The word “Insolvency”</w:t>
      </w:r>
    </w:p>
    <w:p w:rsidR="00DA4085" w:rsidRPr="00DE00D2" w:rsidRDefault="00DA4085" w:rsidP="00DA4085">
      <w:pPr>
        <w:rPr>
          <w:lang w:val="en-US"/>
        </w:rPr>
      </w:pPr>
      <w:r w:rsidRPr="00DE00D2">
        <w:rPr>
          <w:lang w:val="en-US"/>
        </w:rPr>
        <w:t>An enterprise is insolvent if it is not able to meet its payment obligation on time. These include credits, salaries for employees, payments of loan installments and interests as well as rent and leasing payments. In other words, the enterprise is no longer liquid.</w:t>
      </w:r>
    </w:p>
    <w:p w:rsidR="00DA4085" w:rsidRPr="00DE00D2" w:rsidRDefault="00DA4085" w:rsidP="00DA4085">
      <w:pPr>
        <w:rPr>
          <w:lang w:val="en-US"/>
        </w:rPr>
      </w:pPr>
      <w:r w:rsidRPr="00DE00D2">
        <w:rPr>
          <w:lang w:val="en-US"/>
        </w:rPr>
        <w:t>Not only enterprises that had bad conditions from the beginning have to face these problems. It might also happen to companies that had a good start and wanted to expand. Such plans could also lead to a liquidity shortage.</w:t>
      </w:r>
    </w:p>
    <w:p w:rsidR="00DA4085" w:rsidRPr="00DE00D2" w:rsidRDefault="00DE00D2" w:rsidP="00DA4085">
      <w:pPr>
        <w:rPr>
          <w:lang w:val="en-US"/>
        </w:rPr>
      </w:pPr>
      <w:r w:rsidRPr="00DE00D2">
        <w:rPr>
          <w:lang w:val="en-US"/>
        </w:rPr>
        <w:t xml:space="preserve">A lack in liquidity does not necessarily lead to bankruptcy. </w:t>
      </w:r>
    </w:p>
    <w:p w:rsidR="00DE00D2" w:rsidRPr="00DE00D2" w:rsidRDefault="00DE00D2" w:rsidP="00DE00D2">
      <w:pPr>
        <w:pStyle w:val="berschrift1"/>
        <w:rPr>
          <w:lang w:val="en-US"/>
        </w:rPr>
      </w:pPr>
      <w:r w:rsidRPr="00DE00D2">
        <w:rPr>
          <w:lang w:val="en-US"/>
        </w:rPr>
        <w:t>Reasons for insolvency</w:t>
      </w:r>
    </w:p>
    <w:p w:rsidR="00DE00D2" w:rsidRPr="00DE00D2" w:rsidRDefault="00DE00D2" w:rsidP="00DE00D2">
      <w:pPr>
        <w:rPr>
          <w:lang w:val="en-US"/>
        </w:rPr>
      </w:pPr>
      <w:r w:rsidRPr="00DE00D2">
        <w:rPr>
          <w:lang w:val="en-US"/>
        </w:rPr>
        <w:t>The customers, the suppliers, the political environment and the weather, these are not the major reasons for company to failure. According to Austria´s Credit Protecting Association, illiquid customers account for only 2 percent and defaults by suppliers for only 1 percent of business insolvencies.</w:t>
      </w:r>
    </w:p>
    <w:p w:rsidR="00DE00D2" w:rsidRPr="00DE00D2" w:rsidRDefault="00DE00D2" w:rsidP="00DE00D2">
      <w:pPr>
        <w:rPr>
          <w:lang w:val="en-US"/>
        </w:rPr>
      </w:pPr>
      <w:r w:rsidRPr="00DE00D2">
        <w:rPr>
          <w:lang w:val="en-US"/>
        </w:rPr>
        <w:t>Business insolvencies are primarily caused by mistakes and weaknesses in business administration and operations. In detail, the causes of insolvency can be subdivided as follows:</w:t>
      </w:r>
    </w:p>
    <w:tbl>
      <w:tblPr>
        <w:tblStyle w:val="Tabellengitternetz"/>
        <w:tblW w:w="0" w:type="auto"/>
        <w:tblLook w:val="04A0"/>
      </w:tblPr>
      <w:tblGrid>
        <w:gridCol w:w="2802"/>
        <w:gridCol w:w="6410"/>
      </w:tblGrid>
      <w:tr w:rsidR="00DE00D2" w:rsidRPr="00DE00D2" w:rsidTr="00DE00D2">
        <w:tc>
          <w:tcPr>
            <w:tcW w:w="2802" w:type="dxa"/>
            <w:shd w:val="clear" w:color="auto" w:fill="D99594" w:themeFill="accent2" w:themeFillTint="99"/>
          </w:tcPr>
          <w:p w:rsidR="00DE00D2" w:rsidRPr="00DE00D2" w:rsidRDefault="00DE00D2" w:rsidP="00DE00D2">
            <w:pPr>
              <w:jc w:val="center"/>
              <w:rPr>
                <w:b/>
                <w:sz w:val="24"/>
                <w:szCs w:val="24"/>
                <w:lang w:val="en-US"/>
              </w:rPr>
            </w:pPr>
            <w:r w:rsidRPr="00DE00D2">
              <w:rPr>
                <w:b/>
                <w:sz w:val="24"/>
                <w:szCs w:val="24"/>
                <w:lang w:val="en-US"/>
              </w:rPr>
              <w:t>Insolvencies in %</w:t>
            </w:r>
          </w:p>
        </w:tc>
        <w:tc>
          <w:tcPr>
            <w:tcW w:w="6410" w:type="dxa"/>
            <w:shd w:val="clear" w:color="auto" w:fill="D99594" w:themeFill="accent2" w:themeFillTint="99"/>
          </w:tcPr>
          <w:p w:rsidR="00DE00D2" w:rsidRPr="00DE00D2" w:rsidRDefault="00DE00D2" w:rsidP="00DE00D2">
            <w:pPr>
              <w:jc w:val="center"/>
              <w:rPr>
                <w:b/>
                <w:sz w:val="24"/>
                <w:szCs w:val="24"/>
                <w:lang w:val="en-US"/>
              </w:rPr>
            </w:pPr>
            <w:r w:rsidRPr="00DE00D2">
              <w:rPr>
                <w:b/>
                <w:sz w:val="24"/>
                <w:szCs w:val="24"/>
                <w:lang w:val="en-US"/>
              </w:rPr>
              <w:t>accounted for by</w:t>
            </w:r>
          </w:p>
        </w:tc>
      </w:tr>
      <w:tr w:rsidR="00DE00D2" w:rsidRPr="00DE00D2" w:rsidTr="00DE00D2">
        <w:tc>
          <w:tcPr>
            <w:tcW w:w="2802" w:type="dxa"/>
          </w:tcPr>
          <w:p w:rsidR="00DE00D2" w:rsidRPr="00DE00D2" w:rsidRDefault="00DE00D2" w:rsidP="00DE00D2">
            <w:pPr>
              <w:jc w:val="center"/>
              <w:rPr>
                <w:sz w:val="24"/>
                <w:szCs w:val="24"/>
                <w:lang w:val="en-US"/>
              </w:rPr>
            </w:pPr>
            <w:r w:rsidRPr="00DE00D2">
              <w:rPr>
                <w:sz w:val="24"/>
                <w:szCs w:val="24"/>
                <w:lang w:val="en-US"/>
              </w:rPr>
              <w:t>40</w:t>
            </w:r>
          </w:p>
        </w:tc>
        <w:tc>
          <w:tcPr>
            <w:tcW w:w="6410" w:type="dxa"/>
          </w:tcPr>
          <w:p w:rsidR="00DE00D2" w:rsidRPr="00DE00D2" w:rsidRDefault="00DE00D2" w:rsidP="00DE00D2">
            <w:pPr>
              <w:jc w:val="center"/>
              <w:rPr>
                <w:sz w:val="24"/>
                <w:szCs w:val="24"/>
                <w:lang w:val="en-US"/>
              </w:rPr>
            </w:pPr>
            <w:r>
              <w:rPr>
                <w:sz w:val="24"/>
                <w:szCs w:val="24"/>
                <w:lang w:val="en-US"/>
              </w:rPr>
              <w:t>mistakes made internally</w:t>
            </w:r>
          </w:p>
        </w:tc>
      </w:tr>
      <w:tr w:rsidR="00DE00D2" w:rsidRPr="00DE00D2" w:rsidTr="00DE00D2">
        <w:tc>
          <w:tcPr>
            <w:tcW w:w="2802" w:type="dxa"/>
          </w:tcPr>
          <w:p w:rsidR="00DE00D2" w:rsidRPr="00DE00D2" w:rsidRDefault="00DE00D2" w:rsidP="00DE00D2">
            <w:pPr>
              <w:jc w:val="center"/>
              <w:rPr>
                <w:sz w:val="24"/>
                <w:szCs w:val="24"/>
                <w:lang w:val="en-US"/>
              </w:rPr>
            </w:pPr>
            <w:r w:rsidRPr="00DE00D2">
              <w:rPr>
                <w:sz w:val="24"/>
                <w:szCs w:val="24"/>
                <w:lang w:val="en-US"/>
              </w:rPr>
              <w:t>15</w:t>
            </w:r>
          </w:p>
        </w:tc>
        <w:tc>
          <w:tcPr>
            <w:tcW w:w="6410" w:type="dxa"/>
          </w:tcPr>
          <w:p w:rsidR="00DE00D2" w:rsidRPr="00DE00D2" w:rsidRDefault="00DD1233" w:rsidP="00DE00D2">
            <w:pPr>
              <w:jc w:val="center"/>
              <w:rPr>
                <w:sz w:val="24"/>
                <w:szCs w:val="24"/>
                <w:lang w:val="en-US"/>
              </w:rPr>
            </w:pPr>
            <w:r>
              <w:rPr>
                <w:sz w:val="24"/>
                <w:szCs w:val="24"/>
                <w:lang w:val="en-US"/>
              </w:rPr>
              <w:t>negligence</w:t>
            </w:r>
          </w:p>
        </w:tc>
      </w:tr>
      <w:tr w:rsidR="00DE00D2" w:rsidRPr="00DE00D2" w:rsidTr="00DE00D2">
        <w:tc>
          <w:tcPr>
            <w:tcW w:w="2802" w:type="dxa"/>
          </w:tcPr>
          <w:p w:rsidR="00DE00D2" w:rsidRPr="00DE00D2" w:rsidRDefault="00DE00D2" w:rsidP="00DE00D2">
            <w:pPr>
              <w:jc w:val="center"/>
              <w:rPr>
                <w:sz w:val="24"/>
                <w:szCs w:val="24"/>
                <w:lang w:val="en-US"/>
              </w:rPr>
            </w:pPr>
            <w:r w:rsidRPr="00DE00D2">
              <w:rPr>
                <w:sz w:val="24"/>
                <w:szCs w:val="24"/>
                <w:lang w:val="en-US"/>
              </w:rPr>
              <w:t>16</w:t>
            </w:r>
          </w:p>
        </w:tc>
        <w:tc>
          <w:tcPr>
            <w:tcW w:w="6410" w:type="dxa"/>
          </w:tcPr>
          <w:p w:rsidR="00DE00D2" w:rsidRPr="00DE00D2" w:rsidRDefault="00DD1233" w:rsidP="00DE00D2">
            <w:pPr>
              <w:jc w:val="center"/>
              <w:rPr>
                <w:sz w:val="24"/>
                <w:szCs w:val="24"/>
                <w:lang w:val="en-US"/>
              </w:rPr>
            </w:pPr>
            <w:r>
              <w:rPr>
                <w:sz w:val="24"/>
                <w:szCs w:val="24"/>
                <w:lang w:val="en-US"/>
              </w:rPr>
              <w:t>shortage or lack of capital</w:t>
            </w:r>
          </w:p>
        </w:tc>
      </w:tr>
      <w:tr w:rsidR="00DE00D2" w:rsidRPr="00DE00D2" w:rsidTr="00DE00D2">
        <w:tc>
          <w:tcPr>
            <w:tcW w:w="2802" w:type="dxa"/>
          </w:tcPr>
          <w:p w:rsidR="00DE00D2" w:rsidRPr="00DE00D2" w:rsidRDefault="00DE00D2" w:rsidP="00DE00D2">
            <w:pPr>
              <w:jc w:val="center"/>
              <w:rPr>
                <w:sz w:val="24"/>
                <w:szCs w:val="24"/>
                <w:lang w:val="en-US"/>
              </w:rPr>
            </w:pPr>
            <w:r w:rsidRPr="00DE00D2">
              <w:rPr>
                <w:sz w:val="24"/>
                <w:szCs w:val="24"/>
                <w:lang w:val="en-US"/>
              </w:rPr>
              <w:t>16</w:t>
            </w:r>
          </w:p>
        </w:tc>
        <w:tc>
          <w:tcPr>
            <w:tcW w:w="6410" w:type="dxa"/>
          </w:tcPr>
          <w:p w:rsidR="00DE00D2" w:rsidRPr="00DE00D2" w:rsidRDefault="00DD1233" w:rsidP="00DE00D2">
            <w:pPr>
              <w:jc w:val="center"/>
              <w:rPr>
                <w:sz w:val="24"/>
                <w:szCs w:val="24"/>
                <w:lang w:val="en-US"/>
              </w:rPr>
            </w:pPr>
            <w:r>
              <w:rPr>
                <w:sz w:val="24"/>
                <w:szCs w:val="24"/>
                <w:lang w:val="en-US"/>
              </w:rPr>
              <w:t>external causes</w:t>
            </w:r>
          </w:p>
        </w:tc>
      </w:tr>
      <w:tr w:rsidR="00DE00D2" w:rsidRPr="00DE00D2" w:rsidTr="00DE00D2">
        <w:tc>
          <w:tcPr>
            <w:tcW w:w="2802" w:type="dxa"/>
          </w:tcPr>
          <w:p w:rsidR="00DE00D2" w:rsidRPr="00DE00D2" w:rsidRDefault="00DE00D2" w:rsidP="00DE00D2">
            <w:pPr>
              <w:jc w:val="center"/>
              <w:rPr>
                <w:sz w:val="24"/>
                <w:szCs w:val="24"/>
                <w:lang w:val="en-US"/>
              </w:rPr>
            </w:pPr>
            <w:r w:rsidRPr="00DE00D2">
              <w:rPr>
                <w:sz w:val="24"/>
                <w:szCs w:val="24"/>
                <w:lang w:val="en-US"/>
              </w:rPr>
              <w:t>10</w:t>
            </w:r>
          </w:p>
        </w:tc>
        <w:tc>
          <w:tcPr>
            <w:tcW w:w="6410" w:type="dxa"/>
          </w:tcPr>
          <w:p w:rsidR="00DE00D2" w:rsidRPr="00DE00D2" w:rsidRDefault="00DD1233" w:rsidP="00DE00D2">
            <w:pPr>
              <w:jc w:val="center"/>
              <w:rPr>
                <w:sz w:val="24"/>
                <w:szCs w:val="24"/>
                <w:lang w:val="en-US"/>
              </w:rPr>
            </w:pPr>
            <w:r>
              <w:rPr>
                <w:sz w:val="24"/>
                <w:szCs w:val="24"/>
                <w:lang w:val="en-US"/>
              </w:rPr>
              <w:t>personal faults by decision makers</w:t>
            </w:r>
          </w:p>
        </w:tc>
      </w:tr>
      <w:tr w:rsidR="00DE00D2" w:rsidTr="00DE00D2">
        <w:tc>
          <w:tcPr>
            <w:tcW w:w="2802" w:type="dxa"/>
          </w:tcPr>
          <w:p w:rsidR="00DE00D2" w:rsidRPr="00DE00D2" w:rsidRDefault="00DE00D2" w:rsidP="00DE00D2">
            <w:pPr>
              <w:jc w:val="center"/>
              <w:rPr>
                <w:sz w:val="24"/>
                <w:szCs w:val="24"/>
                <w:lang w:val="en-US"/>
              </w:rPr>
            </w:pPr>
            <w:r w:rsidRPr="00DE00D2">
              <w:rPr>
                <w:sz w:val="24"/>
                <w:szCs w:val="24"/>
                <w:lang w:val="en-US"/>
              </w:rPr>
              <w:t>3</w:t>
            </w:r>
          </w:p>
        </w:tc>
        <w:tc>
          <w:tcPr>
            <w:tcW w:w="6410" w:type="dxa"/>
          </w:tcPr>
          <w:p w:rsidR="00DE00D2" w:rsidRPr="00DE00D2" w:rsidRDefault="00DD1233" w:rsidP="00DE00D2">
            <w:pPr>
              <w:jc w:val="center"/>
              <w:rPr>
                <w:sz w:val="24"/>
                <w:szCs w:val="24"/>
                <w:lang w:val="en-US"/>
              </w:rPr>
            </w:pPr>
            <w:r>
              <w:rPr>
                <w:sz w:val="24"/>
                <w:szCs w:val="24"/>
                <w:lang w:val="en-US"/>
              </w:rPr>
              <w:t>other reasons</w:t>
            </w:r>
          </w:p>
        </w:tc>
      </w:tr>
    </w:tbl>
    <w:p w:rsidR="00DE00D2" w:rsidRDefault="00DE00D2" w:rsidP="00DE00D2">
      <w:pPr>
        <w:rPr>
          <w:lang w:val="en-US"/>
        </w:rPr>
      </w:pPr>
    </w:p>
    <w:p w:rsidR="00DD1233" w:rsidRDefault="00DD1233" w:rsidP="00DE00D2">
      <w:pPr>
        <w:rPr>
          <w:lang w:val="en-US"/>
        </w:rPr>
      </w:pPr>
      <w:r>
        <w:rPr>
          <w:lang w:val="en-US"/>
        </w:rPr>
        <w:t>Many business failures could be prevent simply if the entrepreneur had more in-depth business know-how and were able to apply it more appropriate. In particular, enterprises could ward off insolvencies if they paid greater attention to various internal and external warning signals.</w:t>
      </w:r>
    </w:p>
    <w:p w:rsidR="00DD1233" w:rsidRDefault="00DD1233">
      <w:pPr>
        <w:rPr>
          <w:rFonts w:asciiTheme="majorHAnsi" w:eastAsiaTheme="majorEastAsia" w:hAnsiTheme="majorHAnsi" w:cstheme="majorBidi"/>
          <w:i/>
          <w:iCs/>
          <w:color w:val="4F81BD" w:themeColor="accent1"/>
          <w:spacing w:val="15"/>
          <w:sz w:val="24"/>
          <w:szCs w:val="24"/>
          <w:lang w:val="en-US"/>
        </w:rPr>
      </w:pPr>
      <w:r>
        <w:rPr>
          <w:lang w:val="en-US"/>
        </w:rPr>
        <w:br w:type="page"/>
      </w:r>
    </w:p>
    <w:p w:rsidR="00DD1233" w:rsidRDefault="00DD1233" w:rsidP="00DD1233">
      <w:pPr>
        <w:pStyle w:val="Untertitel"/>
        <w:rPr>
          <w:lang w:val="en-US"/>
        </w:rPr>
      </w:pPr>
      <w:r>
        <w:rPr>
          <w:lang w:val="en-US"/>
        </w:rPr>
        <w:lastRenderedPageBreak/>
        <w:t>Internal warning Signals</w:t>
      </w:r>
    </w:p>
    <w:p w:rsidR="00DD1233" w:rsidRDefault="00DD1233" w:rsidP="00DD1233">
      <w:pPr>
        <w:pStyle w:val="KeinLeerraum"/>
        <w:rPr>
          <w:lang w:val="en-US"/>
        </w:rPr>
      </w:pPr>
      <w:r>
        <w:rPr>
          <w:lang w:val="en-US"/>
        </w:rPr>
        <w:t>Finances</w:t>
      </w:r>
    </w:p>
    <w:p w:rsidR="00DD1233" w:rsidRDefault="00DD1233" w:rsidP="00DD1233">
      <w:pPr>
        <w:pStyle w:val="KeinLeerraum"/>
        <w:numPr>
          <w:ilvl w:val="0"/>
          <w:numId w:val="1"/>
        </w:numPr>
        <w:rPr>
          <w:lang w:val="en-US"/>
        </w:rPr>
      </w:pPr>
      <w:r>
        <w:rPr>
          <w:lang w:val="en-US"/>
        </w:rPr>
        <w:t>Declining liquidity reserves</w:t>
      </w:r>
    </w:p>
    <w:p w:rsidR="00DD1233" w:rsidRDefault="00DD1233" w:rsidP="00DD1233">
      <w:pPr>
        <w:pStyle w:val="KeinLeerraum"/>
        <w:numPr>
          <w:ilvl w:val="0"/>
          <w:numId w:val="1"/>
        </w:numPr>
        <w:rPr>
          <w:lang w:val="en-US"/>
        </w:rPr>
      </w:pPr>
      <w:r>
        <w:rPr>
          <w:lang w:val="en-US"/>
        </w:rPr>
        <w:t>Frequent use of overdraft facility</w:t>
      </w:r>
    </w:p>
    <w:p w:rsidR="00DD1233" w:rsidRDefault="00DD1233" w:rsidP="00DD1233">
      <w:pPr>
        <w:pStyle w:val="KeinLeerraum"/>
        <w:numPr>
          <w:ilvl w:val="0"/>
          <w:numId w:val="1"/>
        </w:numPr>
        <w:rPr>
          <w:lang w:val="en-US"/>
        </w:rPr>
      </w:pPr>
      <w:r>
        <w:rPr>
          <w:lang w:val="en-US"/>
        </w:rPr>
        <w:t>Invoices cannot be paid at maturity</w:t>
      </w:r>
    </w:p>
    <w:p w:rsidR="00DD1233" w:rsidRDefault="00DD1233" w:rsidP="00DD1233">
      <w:pPr>
        <w:pStyle w:val="KeinLeerraum"/>
        <w:numPr>
          <w:ilvl w:val="0"/>
          <w:numId w:val="1"/>
        </w:numPr>
        <w:rPr>
          <w:lang w:val="en-US"/>
        </w:rPr>
      </w:pPr>
      <w:r>
        <w:rPr>
          <w:lang w:val="en-US"/>
        </w:rPr>
        <w:t>Loans can no longer be serviced</w:t>
      </w:r>
    </w:p>
    <w:p w:rsidR="00DD1233" w:rsidRDefault="00DD1233" w:rsidP="00DD1233">
      <w:pPr>
        <w:pStyle w:val="KeinLeerraum"/>
        <w:rPr>
          <w:lang w:val="en-US"/>
        </w:rPr>
      </w:pPr>
    </w:p>
    <w:p w:rsidR="00DD1233" w:rsidRDefault="00DD1233" w:rsidP="00DD1233">
      <w:pPr>
        <w:pStyle w:val="KeinLeerraum"/>
        <w:rPr>
          <w:lang w:val="en-US"/>
        </w:rPr>
      </w:pPr>
      <w:r>
        <w:rPr>
          <w:lang w:val="en-US"/>
        </w:rPr>
        <w:t>Management</w:t>
      </w:r>
    </w:p>
    <w:p w:rsidR="00DD1233" w:rsidRDefault="00DD1233" w:rsidP="00DD1233">
      <w:pPr>
        <w:pStyle w:val="KeinLeerraum"/>
        <w:numPr>
          <w:ilvl w:val="0"/>
          <w:numId w:val="2"/>
        </w:numPr>
        <w:rPr>
          <w:lang w:val="en-US"/>
        </w:rPr>
      </w:pPr>
      <w:r>
        <w:rPr>
          <w:lang w:val="en-US"/>
        </w:rPr>
        <w:t>Vague definition of responsibility</w:t>
      </w:r>
    </w:p>
    <w:p w:rsidR="00DD1233" w:rsidRDefault="00DD1233" w:rsidP="00DD1233">
      <w:pPr>
        <w:pStyle w:val="KeinLeerraum"/>
        <w:numPr>
          <w:ilvl w:val="0"/>
          <w:numId w:val="2"/>
        </w:numPr>
        <w:rPr>
          <w:lang w:val="en-US"/>
        </w:rPr>
      </w:pPr>
      <w:r>
        <w:rPr>
          <w:lang w:val="en-US"/>
        </w:rPr>
        <w:t>Repeated delay in decision-making</w:t>
      </w:r>
    </w:p>
    <w:p w:rsidR="00DD1233" w:rsidRDefault="00DD1233" w:rsidP="00DD1233">
      <w:pPr>
        <w:pStyle w:val="KeinLeerraum"/>
        <w:numPr>
          <w:ilvl w:val="0"/>
          <w:numId w:val="2"/>
        </w:numPr>
        <w:rPr>
          <w:lang w:val="en-US"/>
        </w:rPr>
      </w:pPr>
      <w:r>
        <w:rPr>
          <w:lang w:val="en-US"/>
        </w:rPr>
        <w:t>Apparent personal disagreements</w:t>
      </w:r>
    </w:p>
    <w:p w:rsidR="00DD1233" w:rsidRDefault="00DD1233" w:rsidP="00DD1233">
      <w:pPr>
        <w:pStyle w:val="KeinLeerraum"/>
        <w:rPr>
          <w:lang w:val="en-US"/>
        </w:rPr>
      </w:pPr>
    </w:p>
    <w:p w:rsidR="00DD1233" w:rsidRDefault="00DD1233" w:rsidP="00DD1233">
      <w:pPr>
        <w:pStyle w:val="KeinLeerraum"/>
        <w:rPr>
          <w:lang w:val="en-US"/>
        </w:rPr>
      </w:pPr>
      <w:r>
        <w:rPr>
          <w:lang w:val="en-US"/>
        </w:rPr>
        <w:t>Personnel</w:t>
      </w:r>
    </w:p>
    <w:p w:rsidR="00DD1233" w:rsidRDefault="00DD1233" w:rsidP="00DD1233">
      <w:pPr>
        <w:pStyle w:val="KeinLeerraum"/>
        <w:numPr>
          <w:ilvl w:val="0"/>
          <w:numId w:val="3"/>
        </w:numPr>
        <w:rPr>
          <w:lang w:val="en-US"/>
        </w:rPr>
      </w:pPr>
      <w:r>
        <w:rPr>
          <w:lang w:val="en-US"/>
        </w:rPr>
        <w:t>Decline in operative utilization</w:t>
      </w:r>
    </w:p>
    <w:p w:rsidR="00DD1233" w:rsidRDefault="00DD1233" w:rsidP="00DD1233">
      <w:pPr>
        <w:pStyle w:val="KeinLeerraum"/>
        <w:numPr>
          <w:ilvl w:val="0"/>
          <w:numId w:val="3"/>
        </w:numPr>
        <w:rPr>
          <w:lang w:val="en-US"/>
        </w:rPr>
      </w:pPr>
      <w:r>
        <w:rPr>
          <w:lang w:val="en-US"/>
        </w:rPr>
        <w:t>Decreasing productivity</w:t>
      </w:r>
    </w:p>
    <w:p w:rsidR="00DD1233" w:rsidRDefault="00DD1233" w:rsidP="00DD1233">
      <w:pPr>
        <w:pStyle w:val="KeinLeerraum"/>
        <w:numPr>
          <w:ilvl w:val="0"/>
          <w:numId w:val="3"/>
        </w:numPr>
        <w:rPr>
          <w:lang w:val="en-US"/>
        </w:rPr>
      </w:pPr>
      <w:r>
        <w:rPr>
          <w:lang w:val="en-US"/>
        </w:rPr>
        <w:t xml:space="preserve">High </w:t>
      </w:r>
      <w:proofErr w:type="spellStart"/>
      <w:r>
        <w:rPr>
          <w:lang w:val="en-US"/>
        </w:rPr>
        <w:t>labour</w:t>
      </w:r>
      <w:proofErr w:type="spellEnd"/>
      <w:r>
        <w:rPr>
          <w:lang w:val="en-US"/>
        </w:rPr>
        <w:t xml:space="preserve"> turnover</w:t>
      </w:r>
    </w:p>
    <w:p w:rsidR="00DD1233" w:rsidRDefault="00DD1233" w:rsidP="00DD1233">
      <w:pPr>
        <w:pStyle w:val="KeinLeerraum"/>
        <w:numPr>
          <w:ilvl w:val="0"/>
          <w:numId w:val="3"/>
        </w:numPr>
        <w:rPr>
          <w:lang w:val="en-US"/>
        </w:rPr>
      </w:pPr>
      <w:r>
        <w:rPr>
          <w:lang w:val="en-US"/>
        </w:rPr>
        <w:t>High absenteeism</w:t>
      </w:r>
    </w:p>
    <w:p w:rsidR="00DD1233" w:rsidRDefault="00DD1233" w:rsidP="00DD1233">
      <w:pPr>
        <w:pStyle w:val="KeinLeerraum"/>
        <w:rPr>
          <w:lang w:val="en-US"/>
        </w:rPr>
      </w:pPr>
    </w:p>
    <w:p w:rsidR="00DD1233" w:rsidRDefault="00DD1233" w:rsidP="00DD1233">
      <w:pPr>
        <w:pStyle w:val="KeinLeerraum"/>
        <w:rPr>
          <w:lang w:val="en-US"/>
        </w:rPr>
      </w:pPr>
      <w:r>
        <w:rPr>
          <w:lang w:val="en-US"/>
        </w:rPr>
        <w:t>Controlling</w:t>
      </w:r>
    </w:p>
    <w:p w:rsidR="00DD1233" w:rsidRDefault="00DD1233" w:rsidP="00DD1233">
      <w:pPr>
        <w:pStyle w:val="KeinLeerraum"/>
        <w:numPr>
          <w:ilvl w:val="0"/>
          <w:numId w:val="4"/>
        </w:numPr>
        <w:rPr>
          <w:lang w:val="en-US"/>
        </w:rPr>
      </w:pPr>
      <w:r>
        <w:rPr>
          <w:lang w:val="en-US"/>
        </w:rPr>
        <w:t>Numbers are not current or not available at all</w:t>
      </w:r>
    </w:p>
    <w:p w:rsidR="00DD1233" w:rsidRDefault="00DD1233" w:rsidP="00DD1233">
      <w:pPr>
        <w:pStyle w:val="KeinLeerraum"/>
        <w:numPr>
          <w:ilvl w:val="0"/>
          <w:numId w:val="4"/>
        </w:numPr>
        <w:rPr>
          <w:lang w:val="en-US"/>
        </w:rPr>
      </w:pPr>
      <w:r>
        <w:rPr>
          <w:lang w:val="en-US"/>
        </w:rPr>
        <w:t>Existing data is not properly prepared and structured and thus of little information value</w:t>
      </w:r>
    </w:p>
    <w:p w:rsidR="00FE42FD" w:rsidRDefault="00FE42FD" w:rsidP="00FE42FD">
      <w:pPr>
        <w:pStyle w:val="KeinLeerraum"/>
        <w:rPr>
          <w:lang w:val="en-US"/>
        </w:rPr>
      </w:pPr>
    </w:p>
    <w:p w:rsidR="00FE42FD" w:rsidRDefault="00FE42FD" w:rsidP="00FE42FD">
      <w:pPr>
        <w:pStyle w:val="KeinLeerraum"/>
        <w:rPr>
          <w:lang w:val="en-US"/>
        </w:rPr>
      </w:pPr>
      <w:r>
        <w:rPr>
          <w:lang w:val="en-US"/>
        </w:rPr>
        <w:t>Should it happen that an enterprise becomes illiquid and is no longer able to meet its financial obligations, it is absolutely mandatory for the firm to take measures instantly and actively seek a solution.</w:t>
      </w:r>
    </w:p>
    <w:p w:rsidR="00B915B2" w:rsidRDefault="00B915B2" w:rsidP="00FE42FD">
      <w:pPr>
        <w:pStyle w:val="KeinLeerraum"/>
        <w:rPr>
          <w:lang w:val="en-US"/>
        </w:rPr>
      </w:pPr>
    </w:p>
    <w:p w:rsidR="00B915B2" w:rsidRDefault="00B915B2" w:rsidP="00B915B2">
      <w:pPr>
        <w:pStyle w:val="Untertitel"/>
        <w:rPr>
          <w:lang w:val="en-US"/>
        </w:rPr>
      </w:pPr>
      <w:r>
        <w:rPr>
          <w:lang w:val="en-US"/>
        </w:rPr>
        <w:t>External warning signals</w:t>
      </w:r>
    </w:p>
    <w:p w:rsidR="00B915B2" w:rsidRDefault="00B915B2" w:rsidP="00B915B2">
      <w:pPr>
        <w:pStyle w:val="KeinLeerraum"/>
        <w:rPr>
          <w:lang w:val="en-US"/>
        </w:rPr>
      </w:pPr>
      <w:r>
        <w:rPr>
          <w:lang w:val="en-US"/>
        </w:rPr>
        <w:t>Customers</w:t>
      </w:r>
    </w:p>
    <w:p w:rsidR="00B915B2" w:rsidRDefault="00B915B2" w:rsidP="00B915B2">
      <w:pPr>
        <w:pStyle w:val="KeinLeerraum"/>
        <w:numPr>
          <w:ilvl w:val="0"/>
          <w:numId w:val="6"/>
        </w:numPr>
        <w:rPr>
          <w:lang w:val="en-US"/>
        </w:rPr>
      </w:pPr>
      <w:r>
        <w:rPr>
          <w:lang w:val="en-US"/>
        </w:rPr>
        <w:t>Loss of regular customers</w:t>
      </w:r>
    </w:p>
    <w:p w:rsidR="00B915B2" w:rsidRDefault="00B915B2" w:rsidP="00B915B2">
      <w:pPr>
        <w:pStyle w:val="KeinLeerraum"/>
        <w:numPr>
          <w:ilvl w:val="0"/>
          <w:numId w:val="6"/>
        </w:numPr>
        <w:rPr>
          <w:lang w:val="en-US"/>
        </w:rPr>
      </w:pPr>
      <w:r>
        <w:rPr>
          <w:lang w:val="en-US"/>
        </w:rPr>
        <w:t>Increase in accounts receivable and uncollectible receivables</w:t>
      </w:r>
    </w:p>
    <w:p w:rsidR="00B915B2" w:rsidRDefault="00B915B2" w:rsidP="00B915B2">
      <w:pPr>
        <w:pStyle w:val="KeinLeerraum"/>
        <w:numPr>
          <w:ilvl w:val="0"/>
          <w:numId w:val="6"/>
        </w:numPr>
        <w:rPr>
          <w:lang w:val="en-US"/>
        </w:rPr>
      </w:pPr>
      <w:r>
        <w:rPr>
          <w:lang w:val="en-US"/>
        </w:rPr>
        <w:t>Frequent customer complaints</w:t>
      </w:r>
    </w:p>
    <w:p w:rsidR="00B915B2" w:rsidRPr="00B915B2" w:rsidRDefault="00B915B2" w:rsidP="00B915B2">
      <w:pPr>
        <w:pStyle w:val="KeinLeerraum"/>
        <w:rPr>
          <w:sz w:val="16"/>
          <w:szCs w:val="16"/>
          <w:lang w:val="en-US"/>
        </w:rPr>
      </w:pPr>
    </w:p>
    <w:p w:rsidR="00B915B2" w:rsidRDefault="00B915B2" w:rsidP="00B915B2">
      <w:pPr>
        <w:pStyle w:val="KeinLeerraum"/>
        <w:rPr>
          <w:lang w:val="en-US"/>
        </w:rPr>
      </w:pPr>
      <w:r>
        <w:rPr>
          <w:lang w:val="en-US"/>
        </w:rPr>
        <w:t>Competition and market situation</w:t>
      </w:r>
    </w:p>
    <w:p w:rsidR="00B915B2" w:rsidRDefault="00B915B2" w:rsidP="00B915B2">
      <w:pPr>
        <w:pStyle w:val="KeinLeerraum"/>
        <w:numPr>
          <w:ilvl w:val="0"/>
          <w:numId w:val="7"/>
        </w:numPr>
        <w:rPr>
          <w:lang w:val="en-US"/>
        </w:rPr>
      </w:pPr>
      <w:r>
        <w:rPr>
          <w:lang w:val="en-US"/>
        </w:rPr>
        <w:t>Increasing competition, new competitors</w:t>
      </w:r>
    </w:p>
    <w:p w:rsidR="00B915B2" w:rsidRDefault="00B915B2" w:rsidP="00B915B2">
      <w:pPr>
        <w:pStyle w:val="KeinLeerraum"/>
        <w:numPr>
          <w:ilvl w:val="0"/>
          <w:numId w:val="7"/>
        </w:numPr>
        <w:rPr>
          <w:lang w:val="en-US"/>
        </w:rPr>
      </w:pPr>
      <w:r>
        <w:rPr>
          <w:lang w:val="en-US"/>
        </w:rPr>
        <w:t>Decreasing market share</w:t>
      </w:r>
    </w:p>
    <w:p w:rsidR="00B915B2" w:rsidRDefault="00B915B2" w:rsidP="00B915B2">
      <w:pPr>
        <w:pStyle w:val="KeinLeerraum"/>
        <w:numPr>
          <w:ilvl w:val="0"/>
          <w:numId w:val="7"/>
        </w:numPr>
        <w:rPr>
          <w:lang w:val="en-US"/>
        </w:rPr>
      </w:pPr>
      <w:r>
        <w:rPr>
          <w:lang w:val="en-US"/>
        </w:rPr>
        <w:t>Lower sales</w:t>
      </w:r>
    </w:p>
    <w:p w:rsidR="00B915B2" w:rsidRDefault="00B915B2" w:rsidP="00B915B2">
      <w:pPr>
        <w:pStyle w:val="KeinLeerraum"/>
        <w:numPr>
          <w:ilvl w:val="0"/>
          <w:numId w:val="7"/>
        </w:numPr>
        <w:rPr>
          <w:lang w:val="en-US"/>
        </w:rPr>
      </w:pPr>
      <w:r>
        <w:rPr>
          <w:lang w:val="en-US"/>
        </w:rPr>
        <w:t>Increasing pricing pressure</w:t>
      </w:r>
    </w:p>
    <w:p w:rsidR="00B915B2" w:rsidRPr="00B915B2" w:rsidRDefault="00B915B2" w:rsidP="00B915B2">
      <w:pPr>
        <w:pStyle w:val="KeinLeerraum"/>
        <w:rPr>
          <w:sz w:val="16"/>
          <w:szCs w:val="16"/>
          <w:lang w:val="en-US"/>
        </w:rPr>
      </w:pPr>
    </w:p>
    <w:p w:rsidR="00B915B2" w:rsidRDefault="00B915B2" w:rsidP="00B915B2">
      <w:pPr>
        <w:pStyle w:val="KeinLeerraum"/>
        <w:rPr>
          <w:lang w:val="en-US"/>
        </w:rPr>
      </w:pPr>
      <w:r>
        <w:rPr>
          <w:lang w:val="en-US"/>
        </w:rPr>
        <w:t>Suppliers</w:t>
      </w:r>
    </w:p>
    <w:p w:rsidR="00B915B2" w:rsidRDefault="00B915B2" w:rsidP="00B915B2">
      <w:pPr>
        <w:pStyle w:val="KeinLeerraum"/>
        <w:numPr>
          <w:ilvl w:val="0"/>
          <w:numId w:val="8"/>
        </w:numPr>
        <w:rPr>
          <w:lang w:val="en-US"/>
        </w:rPr>
      </w:pPr>
      <w:r>
        <w:rPr>
          <w:lang w:val="en-US"/>
        </w:rPr>
        <w:t>Declining supplier loyalty</w:t>
      </w:r>
    </w:p>
    <w:p w:rsidR="00B915B2" w:rsidRDefault="00B915B2" w:rsidP="00B915B2">
      <w:pPr>
        <w:pStyle w:val="KeinLeerraum"/>
        <w:numPr>
          <w:ilvl w:val="0"/>
          <w:numId w:val="8"/>
        </w:numPr>
        <w:rPr>
          <w:lang w:val="en-US"/>
        </w:rPr>
      </w:pPr>
      <w:r>
        <w:rPr>
          <w:lang w:val="en-US"/>
        </w:rPr>
        <w:t>Inferior terms of delivery and payment (such as payment in advance)</w:t>
      </w:r>
    </w:p>
    <w:p w:rsidR="00B915B2" w:rsidRPr="00B915B2" w:rsidRDefault="00B915B2" w:rsidP="00B915B2">
      <w:pPr>
        <w:pStyle w:val="KeinLeerraum"/>
        <w:rPr>
          <w:sz w:val="16"/>
          <w:szCs w:val="16"/>
          <w:lang w:val="en-US"/>
        </w:rPr>
      </w:pPr>
    </w:p>
    <w:p w:rsidR="00B915B2" w:rsidRDefault="00B915B2" w:rsidP="00B915B2">
      <w:pPr>
        <w:pStyle w:val="KeinLeerraum"/>
        <w:rPr>
          <w:lang w:val="en-US"/>
        </w:rPr>
      </w:pPr>
      <w:r>
        <w:rPr>
          <w:lang w:val="en-US"/>
        </w:rPr>
        <w:t>Creditors</w:t>
      </w:r>
    </w:p>
    <w:p w:rsidR="00B915B2" w:rsidRDefault="00B915B2" w:rsidP="00B915B2">
      <w:pPr>
        <w:pStyle w:val="KeinLeerraum"/>
        <w:numPr>
          <w:ilvl w:val="0"/>
          <w:numId w:val="9"/>
        </w:numPr>
        <w:rPr>
          <w:lang w:val="en-US"/>
        </w:rPr>
      </w:pPr>
      <w:r>
        <w:rPr>
          <w:lang w:val="en-US"/>
        </w:rPr>
        <w:t>Inferior conditions</w:t>
      </w:r>
    </w:p>
    <w:p w:rsidR="00B915B2" w:rsidRDefault="00B915B2" w:rsidP="00B915B2">
      <w:pPr>
        <w:pStyle w:val="KeinLeerraum"/>
        <w:numPr>
          <w:ilvl w:val="0"/>
          <w:numId w:val="9"/>
        </w:numPr>
        <w:rPr>
          <w:lang w:val="en-US"/>
        </w:rPr>
      </w:pPr>
      <w:r>
        <w:rPr>
          <w:lang w:val="en-US"/>
        </w:rPr>
        <w:t>More frequent inquiries, declining trust</w:t>
      </w:r>
    </w:p>
    <w:p w:rsidR="00B915B2" w:rsidRDefault="00B915B2" w:rsidP="00B915B2">
      <w:pPr>
        <w:pStyle w:val="KeinLeerraum"/>
        <w:numPr>
          <w:ilvl w:val="0"/>
          <w:numId w:val="9"/>
        </w:numPr>
        <w:rPr>
          <w:lang w:val="en-US"/>
        </w:rPr>
      </w:pPr>
      <w:r>
        <w:rPr>
          <w:lang w:val="en-US"/>
        </w:rPr>
        <w:t>Request for higher collateral</w:t>
      </w:r>
    </w:p>
    <w:p w:rsidR="00B915B2" w:rsidRDefault="00B915B2" w:rsidP="00B915B2">
      <w:pPr>
        <w:pStyle w:val="KeinLeerraum"/>
        <w:numPr>
          <w:ilvl w:val="0"/>
          <w:numId w:val="9"/>
        </w:numPr>
        <w:rPr>
          <w:lang w:val="en-US"/>
        </w:rPr>
      </w:pPr>
      <w:r>
        <w:rPr>
          <w:lang w:val="en-US"/>
        </w:rPr>
        <w:t>Narrower line of credit</w:t>
      </w:r>
    </w:p>
    <w:p w:rsidR="00B915B2" w:rsidRPr="00B915B2" w:rsidRDefault="00B915B2" w:rsidP="00B915B2">
      <w:pPr>
        <w:pStyle w:val="KeinLeerraum"/>
        <w:rPr>
          <w:sz w:val="16"/>
          <w:szCs w:val="16"/>
          <w:lang w:val="en-US"/>
        </w:rPr>
      </w:pPr>
    </w:p>
    <w:p w:rsidR="00B915B2" w:rsidRDefault="00B915B2" w:rsidP="00B915B2">
      <w:pPr>
        <w:pStyle w:val="KeinLeerraum"/>
        <w:rPr>
          <w:lang w:val="en-US"/>
        </w:rPr>
      </w:pPr>
      <w:r>
        <w:rPr>
          <w:lang w:val="en-US"/>
        </w:rPr>
        <w:t>Political environment and laws</w:t>
      </w:r>
    </w:p>
    <w:p w:rsidR="00B915B2" w:rsidRDefault="00B915B2" w:rsidP="00B915B2">
      <w:pPr>
        <w:pStyle w:val="KeinLeerraum"/>
        <w:numPr>
          <w:ilvl w:val="0"/>
          <w:numId w:val="10"/>
        </w:numPr>
        <w:rPr>
          <w:lang w:val="en-US"/>
        </w:rPr>
      </w:pPr>
      <w:r>
        <w:rPr>
          <w:lang w:val="en-US"/>
        </w:rPr>
        <w:t>New regulations or laws pending</w:t>
      </w:r>
    </w:p>
    <w:p w:rsidR="00B915B2" w:rsidRDefault="00B915B2" w:rsidP="00B915B2">
      <w:pPr>
        <w:pStyle w:val="KeinLeerraum"/>
        <w:numPr>
          <w:ilvl w:val="0"/>
          <w:numId w:val="10"/>
        </w:numPr>
        <w:rPr>
          <w:lang w:val="en-US"/>
        </w:rPr>
      </w:pPr>
      <w:r>
        <w:rPr>
          <w:lang w:val="en-US"/>
        </w:rPr>
        <w:t>Request for changes in the law by media and lobbies</w:t>
      </w:r>
    </w:p>
    <w:p w:rsidR="00B915B2" w:rsidRDefault="00B915B2" w:rsidP="00B915B2">
      <w:pPr>
        <w:pStyle w:val="berschrift1"/>
        <w:rPr>
          <w:lang w:val="en-US"/>
        </w:rPr>
      </w:pPr>
      <w:r>
        <w:rPr>
          <w:lang w:val="en-US"/>
        </w:rPr>
        <w:lastRenderedPageBreak/>
        <w:t>Composition before and after receiving order</w:t>
      </w:r>
    </w:p>
    <w:p w:rsidR="00153610" w:rsidRDefault="00153610" w:rsidP="00153610">
      <w:pPr>
        <w:rPr>
          <w:lang w:val="en-US"/>
        </w:rPr>
      </w:pPr>
      <w:r>
        <w:rPr>
          <w:lang w:val="en-US"/>
        </w:rPr>
        <w:t>An illiquid company first tries to arrange in a so-called composition before receiving order or out-of court settlement with its creditors. It may suggest to them that the money owned will not be paid back instantly but over a couple of months. In case the situation does not improve, the company could even make the arrangement to pay back only half of the outstanding dept.</w:t>
      </w:r>
    </w:p>
    <w:p w:rsidR="00153610" w:rsidRDefault="00153610" w:rsidP="00153610">
      <w:pPr>
        <w:rPr>
          <w:lang w:val="en-US"/>
        </w:rPr>
      </w:pPr>
      <w:r>
        <w:rPr>
          <w:lang w:val="en-US"/>
        </w:rPr>
        <w:t>This might appear to be not a good arrangement for the creditor, but the alternative option could be the loss of the whole outstanding dept.</w:t>
      </w:r>
    </w:p>
    <w:p w:rsidR="00153610" w:rsidRDefault="00153610" w:rsidP="00153610">
      <w:pPr>
        <w:rPr>
          <w:lang w:val="en-US"/>
        </w:rPr>
      </w:pPr>
      <w:r>
        <w:rPr>
          <w:lang w:val="en-US"/>
        </w:rPr>
        <w:t>If the talks fail, the illiquid organization will approach the court and apply for initiation of “reorganization and rehabilitation proceed at court”, also known as composition after receiving order. This means, the court asks all the creditors about their claims. Then there is an attempt to find an agreement between the illiquid business and the creditors, with the judge acting as mediator.</w:t>
      </w:r>
    </w:p>
    <w:p w:rsidR="00773895" w:rsidRPr="00153610" w:rsidRDefault="00773895" w:rsidP="00153610">
      <w:pPr>
        <w:rPr>
          <w:lang w:val="en-US"/>
        </w:rPr>
      </w:pPr>
      <w:r>
        <w:rPr>
          <w:lang w:val="en-US"/>
        </w:rPr>
        <w:t>This could result in a compromise that releases the debtor from parts of his dept.</w:t>
      </w:r>
    </w:p>
    <w:p w:rsidR="00B915B2" w:rsidRDefault="008D6EAA" w:rsidP="008D6EAA">
      <w:pPr>
        <w:pStyle w:val="berschrift1"/>
        <w:rPr>
          <w:lang w:val="en-US"/>
        </w:rPr>
      </w:pPr>
      <w:r>
        <w:rPr>
          <w:lang w:val="en-US"/>
        </w:rPr>
        <w:t>Liquidation bankruptcy</w:t>
      </w:r>
    </w:p>
    <w:p w:rsidR="00773895" w:rsidRDefault="00773895" w:rsidP="00773895">
      <w:pPr>
        <w:rPr>
          <w:lang w:val="en-US"/>
        </w:rPr>
      </w:pPr>
      <w:r>
        <w:rPr>
          <w:lang w:val="en-US"/>
        </w:rPr>
        <w:t>Liquidation bankruptcy means that the illiquid business is not able to pay the dept back anytime. In the first step, the company is sold, either in whole or asset by asset. Normally not all claims can be paid by selling the company. Every creditor is paid the same percentage value of his claim, known as dividend in bankruptcy.</w:t>
      </w:r>
    </w:p>
    <w:p w:rsidR="00773895" w:rsidRDefault="00773895" w:rsidP="00773895">
      <w:pPr>
        <w:pStyle w:val="Untertitel"/>
        <w:rPr>
          <w:lang w:val="en-US"/>
        </w:rPr>
      </w:pPr>
      <w:r>
        <w:rPr>
          <w:lang w:val="en-US"/>
        </w:rPr>
        <w:t>Personal liability for the entrepreneur</w:t>
      </w:r>
    </w:p>
    <w:p w:rsidR="00C13972" w:rsidRDefault="00773895" w:rsidP="00773895">
      <w:pPr>
        <w:rPr>
          <w:lang w:val="en-US"/>
        </w:rPr>
      </w:pPr>
      <w:r>
        <w:rPr>
          <w:lang w:val="en-US"/>
        </w:rPr>
        <w:t xml:space="preserve">The sole traders in a sole proprietorship, all partners in a general partnership, general partners in a limited partnership and all partners in a civil-law partnership have unlimited personal liability. The entire private property is used to pay the dept. If there is not enough </w:t>
      </w:r>
      <w:r w:rsidR="00C13972">
        <w:rPr>
          <w:lang w:val="en-US"/>
        </w:rPr>
        <w:t>property, part the further income will be used to pay the claims.</w:t>
      </w:r>
    </w:p>
    <w:p w:rsidR="00C13972" w:rsidRDefault="00C13972" w:rsidP="00C13972">
      <w:pPr>
        <w:pStyle w:val="berschrift1"/>
        <w:rPr>
          <w:lang w:val="en-US"/>
        </w:rPr>
      </w:pPr>
      <w:r>
        <w:rPr>
          <w:lang w:val="en-US"/>
        </w:rPr>
        <w:t>Insolvency Proceedings</w:t>
      </w:r>
    </w:p>
    <w:p w:rsidR="00C13972" w:rsidRPr="00C13972" w:rsidRDefault="00C13972" w:rsidP="00C13972">
      <w:pPr>
        <w:rPr>
          <w:lang w:val="en-US"/>
        </w:rPr>
      </w:pPr>
      <w:r w:rsidRPr="00C13972">
        <w:rPr>
          <w:noProof/>
          <w:lang w:val="en-US"/>
        </w:rPr>
        <w:pict>
          <v:roundrect id="_x0000_s1026" style="position:absolute;margin-left:142.4pt;margin-top:15.85pt;width:140.95pt;height:27.65pt;z-index:251660288;mso-width-relative:margin;mso-height-relative:margin" arcsize="10923f">
            <v:textbox>
              <w:txbxContent>
                <w:p w:rsidR="00C13972" w:rsidRPr="00C13972" w:rsidRDefault="00C13972" w:rsidP="00C13972">
                  <w:pPr>
                    <w:jc w:val="center"/>
                    <w:rPr>
                      <w:lang w:val="en-US"/>
                    </w:rPr>
                  </w:pPr>
                  <w:r w:rsidRPr="00C13972">
                    <w:rPr>
                      <w:lang w:val="en-US"/>
                    </w:rPr>
                    <w:t>Invoices cannot be paid</w:t>
                  </w:r>
                </w:p>
              </w:txbxContent>
            </v:textbox>
          </v:roundrect>
        </w:pict>
      </w:r>
    </w:p>
    <w:p w:rsidR="008D6EAA" w:rsidRPr="008D6EAA" w:rsidRDefault="001E6656" w:rsidP="008D6EAA">
      <w:pPr>
        <w:rPr>
          <w:lang w:val="en-US"/>
        </w:rPr>
      </w:pPr>
      <w:r>
        <w:rPr>
          <w:noProof/>
          <w:lang w:eastAsia="de-DE"/>
        </w:rPr>
        <w:pict>
          <v:shapetype id="_x0000_t32" coordsize="21600,21600" o:spt="32" o:oned="t" path="m,l21600,21600e" filled="f">
            <v:path arrowok="t" fillok="f" o:connecttype="none"/>
            <o:lock v:ext="edit" shapetype="t"/>
          </v:shapetype>
          <v:shape id="_x0000_s1033" type="#_x0000_t32" style="position:absolute;margin-left:209.6pt;margin-top:18.05pt;width:0;height:33.45pt;z-index:251667456" o:connectortype="straight"/>
        </w:pict>
      </w:r>
      <w:r>
        <w:rPr>
          <w:noProof/>
          <w:lang w:eastAsia="de-DE"/>
        </w:rPr>
        <w:pict>
          <v:shape id="_x0000_s1032" type="#_x0000_t32" style="position:absolute;margin-left:72.3pt;margin-top:34.05pt;width:280.05pt;height:0;z-index:251666432" o:connectortype="straight"/>
        </w:pict>
      </w:r>
      <w:r>
        <w:rPr>
          <w:noProof/>
          <w:lang w:eastAsia="de-DE"/>
        </w:rPr>
        <w:pict>
          <v:shapetype id="_x0000_t19" coordsize="21600,21600" o:spt="19" adj="-5898240,,,21600,21600" path="wr-21600,,21600,43200,,,21600,21600nfewr-21600,,21600,43200,,,21600,21600l,21600nsxe" filled="f">
            <v:formulas>
              <v:f eqn="val #2"/>
              <v:f eqn="val #3"/>
              <v:f eqn="val #4"/>
            </v:formulas>
            <v:path arrowok="t" o:extrusionok="f" gradientshapeok="t" o:connecttype="custom" o:connectlocs="0,0;21600,21600;0,21600"/>
            <v:handles>
              <v:h position="@2,#0" polar="@0,@1"/>
              <v:h position="@2,#1" polar="@0,@1"/>
            </v:handles>
          </v:shapetype>
          <v:shape id="_x0000_s1031" type="#_x0000_t19" style="position:absolute;margin-left:352.35pt;margin-top:34.05pt;width:18.4pt;height:18.4pt;rotation:6126076fd;flip:y;z-index:251665408"/>
        </w:pict>
      </w:r>
      <w:r>
        <w:rPr>
          <w:noProof/>
          <w:lang w:eastAsia="de-DE"/>
        </w:rPr>
        <w:pict>
          <v:shape id="_x0000_s1030" type="#_x0000_t19" style="position:absolute;margin-left:53.9pt;margin-top:33.1pt;width:18.4pt;height:18.4pt;rotation:11367462fd;flip:y;z-index:251664384"/>
        </w:pict>
      </w:r>
      <w:r w:rsidR="00C13972">
        <w:rPr>
          <w:noProof/>
          <w:lang w:eastAsia="de-DE"/>
        </w:rPr>
        <w:pict>
          <v:roundrect id="_x0000_s1029" style="position:absolute;margin-left:295.35pt;margin-top:51.5pt;width:140.95pt;height:48.2pt;z-index:251663360;mso-width-relative:margin;mso-height-relative:margin" arcsize="10923f">
            <v:textbox>
              <w:txbxContent>
                <w:p w:rsidR="00C13972" w:rsidRPr="00C13972" w:rsidRDefault="00C13972" w:rsidP="00C13972">
                  <w:pPr>
                    <w:spacing w:line="360" w:lineRule="auto"/>
                    <w:jc w:val="center"/>
                    <w:rPr>
                      <w:lang w:val="en-US"/>
                    </w:rPr>
                  </w:pPr>
                  <w:r>
                    <w:rPr>
                      <w:lang w:val="en-US"/>
                    </w:rPr>
                    <w:t>Liquidation bankruptcy</w:t>
                  </w:r>
                </w:p>
              </w:txbxContent>
            </v:textbox>
          </v:roundrect>
        </w:pict>
      </w:r>
      <w:r w:rsidR="00C13972">
        <w:rPr>
          <w:noProof/>
          <w:lang w:eastAsia="de-DE"/>
        </w:rPr>
        <w:pict>
          <v:roundrect id="_x0000_s1027" style="position:absolute;margin-left:-9.95pt;margin-top:51.5pt;width:140.95pt;height:46.05pt;z-index:251661312;mso-width-relative:margin;mso-height-relative:margin" arcsize="10923f">
            <v:textbox>
              <w:txbxContent>
                <w:p w:rsidR="00C13972" w:rsidRPr="00C13972" w:rsidRDefault="00C13972" w:rsidP="00C13972">
                  <w:pPr>
                    <w:jc w:val="center"/>
                    <w:rPr>
                      <w:lang w:val="en-US"/>
                    </w:rPr>
                  </w:pPr>
                  <w:r w:rsidRPr="00C13972">
                    <w:rPr>
                      <w:lang w:val="en-US"/>
                    </w:rPr>
                    <w:t>Out of court settlement</w:t>
                  </w:r>
                </w:p>
              </w:txbxContent>
            </v:textbox>
          </v:roundrect>
        </w:pict>
      </w:r>
      <w:r w:rsidR="00C13972">
        <w:rPr>
          <w:noProof/>
          <w:lang w:eastAsia="de-DE"/>
        </w:rPr>
        <w:pict>
          <v:roundrect id="_x0000_s1028" style="position:absolute;margin-left:142.4pt;margin-top:51.5pt;width:140.95pt;height:46.05pt;z-index:251662336;mso-width-relative:margin;mso-height-relative:margin" arcsize="10923f">
            <v:textbox>
              <w:txbxContent>
                <w:p w:rsidR="00C13972" w:rsidRPr="00C13972" w:rsidRDefault="00C13972" w:rsidP="00C13972">
                  <w:pPr>
                    <w:jc w:val="center"/>
                    <w:rPr>
                      <w:lang w:val="en-US"/>
                    </w:rPr>
                  </w:pPr>
                  <w:r>
                    <w:rPr>
                      <w:lang w:val="en-US"/>
                    </w:rPr>
                    <w:t>Composition after receiving order</w:t>
                  </w:r>
                </w:p>
              </w:txbxContent>
            </v:textbox>
          </v:roundrect>
        </w:pict>
      </w:r>
    </w:p>
    <w:sectPr w:rsidR="008D6EAA" w:rsidRPr="008D6EAA" w:rsidSect="007E070E">
      <w:pgSz w:w="11906" w:h="16838"/>
      <w:pgMar w:top="1417" w:right="1417" w:bottom="1134"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 w:name="Tahoma">
    <w:panose1 w:val="020B0604030504040204"/>
    <w:charset w:val="00"/>
    <w:family w:val="swiss"/>
    <w:pitch w:val="variable"/>
    <w:sig w:usb0="E1002A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EC12D5"/>
    <w:multiLevelType w:val="hybridMultilevel"/>
    <w:tmpl w:val="6E5A05A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nsid w:val="08641103"/>
    <w:multiLevelType w:val="hybridMultilevel"/>
    <w:tmpl w:val="7562B7F6"/>
    <w:lvl w:ilvl="0" w:tplc="59965814">
      <w:numFmt w:val="bullet"/>
      <w:lvlText w:val="-"/>
      <w:lvlJc w:val="left"/>
      <w:pPr>
        <w:ind w:left="720" w:hanging="360"/>
      </w:pPr>
      <w:rPr>
        <w:rFonts w:ascii="Calibri" w:eastAsiaTheme="minorHAnsi"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nsid w:val="18E2466C"/>
    <w:multiLevelType w:val="hybridMultilevel"/>
    <w:tmpl w:val="CF2A2C7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25D05E9E"/>
    <w:multiLevelType w:val="hybridMultilevel"/>
    <w:tmpl w:val="23BA02D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nsid w:val="340D23A6"/>
    <w:multiLevelType w:val="hybridMultilevel"/>
    <w:tmpl w:val="7FC074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42D51FB8"/>
    <w:multiLevelType w:val="hybridMultilevel"/>
    <w:tmpl w:val="27C87B92"/>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nsid w:val="664E003B"/>
    <w:multiLevelType w:val="hybridMultilevel"/>
    <w:tmpl w:val="BF606B34"/>
    <w:lvl w:ilvl="0" w:tplc="0C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68A26DC6"/>
    <w:multiLevelType w:val="hybridMultilevel"/>
    <w:tmpl w:val="4558991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727A7455"/>
    <w:multiLevelType w:val="hybridMultilevel"/>
    <w:tmpl w:val="6D92D78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nsid w:val="78D26190"/>
    <w:multiLevelType w:val="hybridMultilevel"/>
    <w:tmpl w:val="1A20B6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2"/>
  </w:num>
  <w:num w:numId="2">
    <w:abstractNumId w:val="5"/>
  </w:num>
  <w:num w:numId="3">
    <w:abstractNumId w:val="9"/>
  </w:num>
  <w:num w:numId="4">
    <w:abstractNumId w:val="3"/>
  </w:num>
  <w:num w:numId="5">
    <w:abstractNumId w:val="1"/>
  </w:num>
  <w:num w:numId="6">
    <w:abstractNumId w:val="6"/>
  </w:num>
  <w:num w:numId="7">
    <w:abstractNumId w:val="8"/>
  </w:num>
  <w:num w:numId="8">
    <w:abstractNumId w:val="4"/>
  </w:num>
  <w:num w:numId="9">
    <w:abstractNumId w:val="7"/>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hyphenationZone w:val="425"/>
  <w:characterSpacingControl w:val="doNotCompress"/>
  <w:compat/>
  <w:rsids>
    <w:rsidRoot w:val="00DA4085"/>
    <w:rsid w:val="00153610"/>
    <w:rsid w:val="001E6656"/>
    <w:rsid w:val="005D7FFB"/>
    <w:rsid w:val="00773895"/>
    <w:rsid w:val="007E070E"/>
    <w:rsid w:val="008D6EAA"/>
    <w:rsid w:val="00A21774"/>
    <w:rsid w:val="00B915B2"/>
    <w:rsid w:val="00C13972"/>
    <w:rsid w:val="00D470D4"/>
    <w:rsid w:val="00DA4085"/>
    <w:rsid w:val="00DD1233"/>
    <w:rsid w:val="00DE00D2"/>
    <w:rsid w:val="00FE42FD"/>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rules v:ext="edit">
        <o:r id="V:Rule2" type="arc" idref="#_x0000_s1030"/>
        <o:r id="V:Rule3" type="arc" idref="#_x0000_s1031"/>
        <o:r id="V:Rule5" type="connector" idref="#_x0000_s1032"/>
        <o:r id="V:Rule7" type="connector" idref="#_x0000_s103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7E070E"/>
  </w:style>
  <w:style w:type="paragraph" w:styleId="berschrift1">
    <w:name w:val="heading 1"/>
    <w:basedOn w:val="Standard"/>
    <w:next w:val="Standard"/>
    <w:link w:val="berschrift1Zchn"/>
    <w:uiPriority w:val="9"/>
    <w:qFormat/>
    <w:rsid w:val="00DA408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itel">
    <w:name w:val="Title"/>
    <w:basedOn w:val="Standard"/>
    <w:next w:val="Standard"/>
    <w:link w:val="TitelZchn"/>
    <w:uiPriority w:val="10"/>
    <w:qFormat/>
    <w:rsid w:val="00DA408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DA4085"/>
    <w:rPr>
      <w:rFonts w:asciiTheme="majorHAnsi" w:eastAsiaTheme="majorEastAsia" w:hAnsiTheme="majorHAnsi" w:cstheme="majorBidi"/>
      <w:color w:val="17365D" w:themeColor="text2" w:themeShade="BF"/>
      <w:spacing w:val="5"/>
      <w:kern w:val="28"/>
      <w:sz w:val="52"/>
      <w:szCs w:val="52"/>
    </w:rPr>
  </w:style>
  <w:style w:type="character" w:customStyle="1" w:styleId="berschrift1Zchn">
    <w:name w:val="Überschrift 1 Zchn"/>
    <w:basedOn w:val="Absatz-Standardschriftart"/>
    <w:link w:val="berschrift1"/>
    <w:uiPriority w:val="9"/>
    <w:rsid w:val="00DA4085"/>
    <w:rPr>
      <w:rFonts w:asciiTheme="majorHAnsi" w:eastAsiaTheme="majorEastAsia" w:hAnsiTheme="majorHAnsi" w:cstheme="majorBidi"/>
      <w:b/>
      <w:bCs/>
      <w:color w:val="365F91" w:themeColor="accent1" w:themeShade="BF"/>
      <w:sz w:val="28"/>
      <w:szCs w:val="28"/>
    </w:rPr>
  </w:style>
  <w:style w:type="table" w:styleId="Tabellengitternetz">
    <w:name w:val="Table Grid"/>
    <w:basedOn w:val="NormaleTabelle"/>
    <w:uiPriority w:val="59"/>
    <w:rsid w:val="00DE00D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Untertitel">
    <w:name w:val="Subtitle"/>
    <w:basedOn w:val="Standard"/>
    <w:next w:val="Standard"/>
    <w:link w:val="UntertitelZchn"/>
    <w:uiPriority w:val="11"/>
    <w:qFormat/>
    <w:rsid w:val="00DD1233"/>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DD1233"/>
    <w:rPr>
      <w:rFonts w:asciiTheme="majorHAnsi" w:eastAsiaTheme="majorEastAsia" w:hAnsiTheme="majorHAnsi" w:cstheme="majorBidi"/>
      <w:i/>
      <w:iCs/>
      <w:color w:val="4F81BD" w:themeColor="accent1"/>
      <w:spacing w:val="15"/>
      <w:sz w:val="24"/>
      <w:szCs w:val="24"/>
    </w:rPr>
  </w:style>
  <w:style w:type="paragraph" w:styleId="Listenabsatz">
    <w:name w:val="List Paragraph"/>
    <w:basedOn w:val="Standard"/>
    <w:uiPriority w:val="34"/>
    <w:qFormat/>
    <w:rsid w:val="00DD1233"/>
    <w:pPr>
      <w:ind w:left="720"/>
      <w:contextualSpacing/>
    </w:pPr>
  </w:style>
  <w:style w:type="paragraph" w:styleId="KeinLeerraum">
    <w:name w:val="No Spacing"/>
    <w:uiPriority w:val="1"/>
    <w:qFormat/>
    <w:rsid w:val="00DD1233"/>
    <w:pPr>
      <w:spacing w:after="0" w:line="240" w:lineRule="auto"/>
    </w:pPr>
  </w:style>
  <w:style w:type="paragraph" w:styleId="Sprechblasentext">
    <w:name w:val="Balloon Text"/>
    <w:basedOn w:val="Standard"/>
    <w:link w:val="SprechblasentextZchn"/>
    <w:uiPriority w:val="99"/>
    <w:semiHidden/>
    <w:unhideWhenUsed/>
    <w:rsid w:val="00C13972"/>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C13972"/>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653</Words>
  <Characters>4121</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Company>Hewlett-Packard</Company>
  <LinksUpToDate>false</LinksUpToDate>
  <CharactersWithSpaces>4765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dc:creator>
  <cp:keywords/>
  <dc:description/>
  <cp:lastModifiedBy>Martin</cp:lastModifiedBy>
  <cp:revision>2</cp:revision>
  <dcterms:created xsi:type="dcterms:W3CDTF">2011-05-04T14:06:00Z</dcterms:created>
  <dcterms:modified xsi:type="dcterms:W3CDTF">2011-05-04T19:37:00Z</dcterms:modified>
</cp:coreProperties>
</file>