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F24" w:rsidRPr="000D712A" w:rsidRDefault="003B6F24" w:rsidP="003B6F24">
      <w:pPr>
        <w:pStyle w:val="berschrift1"/>
        <w:spacing w:before="0" w:after="0"/>
        <w:rPr>
          <w:rFonts w:ascii="Times New Roman" w:hAnsi="Times New Roman" w:cs="Times New Roman"/>
          <w:sz w:val="28"/>
          <w:szCs w:val="28"/>
          <w:u w:val="single"/>
        </w:rPr>
      </w:pPr>
      <w:bookmarkStart w:id="0" w:name="_Toc240021019"/>
      <w:bookmarkStart w:id="1" w:name="_Toc240022050"/>
      <w:bookmarkStart w:id="2" w:name="_Toc240032704"/>
      <w:bookmarkStart w:id="3" w:name="_Toc242458401"/>
      <w:r w:rsidRPr="000D712A">
        <w:rPr>
          <w:rFonts w:ascii="Times New Roman" w:hAnsi="Times New Roman" w:cs="Times New Roman"/>
          <w:sz w:val="28"/>
          <w:szCs w:val="28"/>
          <w:u w:val="single"/>
        </w:rPr>
        <w:t>Das 5-Kräfte-Modell nach Michael E. Porter</w:t>
      </w:r>
      <w:bookmarkEnd w:id="0"/>
      <w:bookmarkEnd w:id="1"/>
      <w:bookmarkEnd w:id="2"/>
      <w:bookmarkEnd w:id="3"/>
    </w:p>
    <w:p w:rsidR="003B6F24" w:rsidRPr="000D712A" w:rsidRDefault="003B6F24" w:rsidP="003B6F24">
      <w:pPr>
        <w:rPr>
          <w:szCs w:val="22"/>
        </w:rPr>
      </w:pPr>
    </w:p>
    <w:p w:rsidR="003B6F24" w:rsidRPr="000D712A" w:rsidRDefault="003B6F24" w:rsidP="003B6F24">
      <w:pPr>
        <w:rPr>
          <w:szCs w:val="22"/>
        </w:rPr>
      </w:pPr>
      <w:r w:rsidRPr="000D712A">
        <w:rPr>
          <w:szCs w:val="22"/>
        </w:rPr>
        <w:t xml:space="preserve">Michael E. Porter hat eine Methode entwickelt, um die Wettbewerbssituation darzustellen. </w:t>
      </w:r>
    </w:p>
    <w:p w:rsidR="003B6F24" w:rsidRDefault="003B6F24" w:rsidP="003B6F24">
      <w:pPr>
        <w:rPr>
          <w:kern w:val="0"/>
          <w:szCs w:val="22"/>
          <w:lang w:val="de-AT"/>
        </w:rPr>
      </w:pPr>
      <w:proofErr w:type="spellStart"/>
      <w:r w:rsidRPr="000D712A">
        <w:rPr>
          <w:kern w:val="0"/>
          <w:szCs w:val="22"/>
          <w:lang w:val="de-AT"/>
        </w:rPr>
        <w:t>Porters</w:t>
      </w:r>
      <w:proofErr w:type="spellEnd"/>
      <w:r w:rsidRPr="000D712A">
        <w:rPr>
          <w:kern w:val="0"/>
          <w:szCs w:val="22"/>
          <w:lang w:val="de-AT"/>
        </w:rPr>
        <w:t xml:space="preserve"> Modell beruht auf der grundlegenden Erkenntnis, dass sich die Strategie eines Unternehmens an seinem Umfeld orientieren muss.</w:t>
      </w:r>
    </w:p>
    <w:p w:rsidR="000F75BC" w:rsidRPr="000D712A" w:rsidRDefault="000F75BC" w:rsidP="003B6F24">
      <w:pPr>
        <w:rPr>
          <w:kern w:val="0"/>
          <w:szCs w:val="22"/>
          <w:lang w:val="de-AT"/>
        </w:rPr>
      </w:pPr>
      <w:r>
        <w:rPr>
          <w:kern w:val="0"/>
          <w:szCs w:val="22"/>
          <w:lang w:val="de-AT"/>
        </w:rPr>
        <w:t>Diese 5 Wettbewerbskräfte wirken in jeder Branche und jedem Markt. Je größer die Bedrohung diese Wettbewerbskräfte (bei Markteintritt), desto Unattraktiver ist diese Branche und desto schwerer ist es, einen nachhaltigen Wettbewerbsvorteil zu erzielen.</w:t>
      </w:r>
    </w:p>
    <w:p w:rsidR="003B6F24" w:rsidRDefault="003B6F24" w:rsidP="003B6F24"/>
    <w:p w:rsidR="003B6F24" w:rsidRDefault="00AF6448" w:rsidP="003B6F24">
      <w:r>
        <w:rPr>
          <w:noProof/>
          <w:lang w:eastAsia="de-DE"/>
        </w:rPr>
        <w:pict>
          <v:rect id="_x0000_s1026" style="position:absolute;margin-left:97.9pt;margin-top:11.1pt;width:170.3pt;height:34.15pt;z-index:251660288">
            <v:shadow on="t" opacity=".5" offset="6pt,-6pt"/>
            <v:textbox style="mso-next-textbox:#_x0000_s1026">
              <w:txbxContent>
                <w:p w:rsidR="003B6F24" w:rsidRPr="00564DD9" w:rsidRDefault="003B6F24" w:rsidP="003B6F24">
                  <w:pPr>
                    <w:jc w:val="center"/>
                    <w:rPr>
                      <w:rFonts w:ascii="Arial" w:hAnsi="Arial" w:cs="Arial"/>
                    </w:rPr>
                  </w:pPr>
                  <w:r w:rsidRPr="00564DD9">
                    <w:rPr>
                      <w:rFonts w:ascii="Arial" w:hAnsi="Arial" w:cs="Arial"/>
                    </w:rPr>
                    <w:t>Neue Konkurrenten</w:t>
                  </w:r>
                </w:p>
                <w:p w:rsidR="003B6F24" w:rsidRDefault="003B6F24" w:rsidP="003B6F24"/>
              </w:txbxContent>
            </v:textbox>
          </v:rect>
        </w:pict>
      </w:r>
    </w:p>
    <w:p w:rsidR="003B6F24" w:rsidRDefault="003B6F24" w:rsidP="003B6F24"/>
    <w:p w:rsidR="003B6F24" w:rsidRDefault="003B6F24" w:rsidP="003B6F24"/>
    <w:p w:rsidR="003B6F24" w:rsidRDefault="00AF6448" w:rsidP="003B6F24">
      <w:r>
        <w:rPr>
          <w:noProof/>
          <w:lang w:eastAsia="de-DE"/>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7" type="#_x0000_t67" style="position:absolute;margin-left:169.6pt;margin-top:7.3pt;width:38.25pt;height:22.95pt;z-index:251661312" fillcolor="#a5a5a5">
            <v:textbox style="layout-flow:vertical-ideographic"/>
          </v:shape>
        </w:pict>
      </w:r>
    </w:p>
    <w:p w:rsidR="003B6F24" w:rsidRDefault="003B6F24" w:rsidP="003B6F24"/>
    <w:p w:rsidR="003B6F24" w:rsidRDefault="00AF6448" w:rsidP="003B6F24">
      <w:r>
        <w:rPr>
          <w:noProof/>
          <w:lang w:eastAsia="de-DE"/>
        </w:rPr>
        <w:pict>
          <v:rect id="_x0000_s1028" style="position:absolute;margin-left:149.35pt;margin-top:6.2pt;width:83.05pt;height:78.8pt;z-index:251662336">
            <v:shadow on="t" opacity=".5" offset="6pt,-6pt"/>
            <v:textbox>
              <w:txbxContent>
                <w:p w:rsidR="003B6F24" w:rsidRDefault="003B6F24" w:rsidP="003B6F24">
                  <w:pPr>
                    <w:jc w:val="center"/>
                    <w:rPr>
                      <w:b/>
                    </w:rPr>
                  </w:pPr>
                </w:p>
                <w:p w:rsidR="003B6F24" w:rsidRPr="00564DD9" w:rsidRDefault="003B6F24" w:rsidP="003B6F24">
                  <w:pPr>
                    <w:jc w:val="center"/>
                    <w:rPr>
                      <w:rFonts w:ascii="Arial" w:hAnsi="Arial" w:cs="Arial"/>
                    </w:rPr>
                  </w:pPr>
                  <w:r w:rsidRPr="00564DD9">
                    <w:rPr>
                      <w:rFonts w:ascii="Arial" w:hAnsi="Arial" w:cs="Arial"/>
                    </w:rPr>
                    <w:t>Konkurrenz</w:t>
                  </w:r>
                </w:p>
                <w:p w:rsidR="003B6F24" w:rsidRPr="00564DD9" w:rsidRDefault="003B6F24" w:rsidP="003B6F24">
                  <w:pPr>
                    <w:jc w:val="center"/>
                    <w:rPr>
                      <w:rFonts w:ascii="Arial" w:hAnsi="Arial" w:cs="Arial"/>
                    </w:rPr>
                  </w:pPr>
                  <w:r w:rsidRPr="00564DD9">
                    <w:rPr>
                      <w:rFonts w:ascii="Arial" w:hAnsi="Arial" w:cs="Arial"/>
                    </w:rPr>
                    <w:t>in der Branche</w:t>
                  </w:r>
                </w:p>
                <w:p w:rsidR="003B6F24" w:rsidRPr="00564DD9" w:rsidRDefault="003B6F24" w:rsidP="003B6F24"/>
              </w:txbxContent>
            </v:textbox>
          </v:rect>
        </w:pict>
      </w:r>
      <w:r>
        <w:rPr>
          <w:noProof/>
          <w:lang w:eastAsia="de-DE"/>
        </w:rPr>
        <w:pict>
          <v:rect id="_x0000_s1029" style="position:absolute;margin-left:259.25pt;margin-top:6.2pt;width:122.45pt;height:1in;z-index:251663360">
            <v:shadow on="t" opacity=".5" offset="6pt,-6pt"/>
            <v:textbox>
              <w:txbxContent>
                <w:p w:rsidR="003B6F24" w:rsidRDefault="003B6F24" w:rsidP="003B6F24">
                  <w:pPr>
                    <w:jc w:val="center"/>
                    <w:rPr>
                      <w:rFonts w:ascii="Arial" w:hAnsi="Arial" w:cs="Arial"/>
                      <w:b/>
                    </w:rPr>
                  </w:pPr>
                </w:p>
                <w:p w:rsidR="003B6F24" w:rsidRPr="00564DD9" w:rsidRDefault="003B6F24" w:rsidP="003B6F24">
                  <w:pPr>
                    <w:jc w:val="center"/>
                    <w:rPr>
                      <w:rFonts w:ascii="Arial" w:hAnsi="Arial" w:cs="Arial"/>
                    </w:rPr>
                  </w:pPr>
                  <w:r w:rsidRPr="00564DD9">
                    <w:rPr>
                      <w:rFonts w:ascii="Arial" w:hAnsi="Arial" w:cs="Arial"/>
                    </w:rPr>
                    <w:t>Verhandlungsmacht der Kunden</w:t>
                  </w:r>
                </w:p>
                <w:p w:rsidR="003B6F24" w:rsidRDefault="003B6F24" w:rsidP="003B6F24"/>
              </w:txbxContent>
            </v:textbox>
          </v:rect>
        </w:pict>
      </w:r>
      <w:r>
        <w:rPr>
          <w:noProof/>
          <w:lang w:eastAsia="de-DE"/>
        </w:rPr>
        <w:pict>
          <v:rect id="_x0000_s1030" style="position:absolute;margin-left:-2pt;margin-top:6.2pt;width:123pt;height:1in;z-index:251664384">
            <v:shadow on="t" opacity=".5" offset="6pt,-6pt"/>
            <v:textbox>
              <w:txbxContent>
                <w:p w:rsidR="003B6F24" w:rsidRDefault="003B6F24" w:rsidP="003B6F24"/>
                <w:p w:rsidR="003B6F24" w:rsidRPr="00564DD9" w:rsidRDefault="003B6F24" w:rsidP="003B6F24">
                  <w:pPr>
                    <w:jc w:val="center"/>
                    <w:rPr>
                      <w:rFonts w:ascii="Arial" w:hAnsi="Arial" w:cs="Arial"/>
                    </w:rPr>
                  </w:pPr>
                  <w:r w:rsidRPr="00564DD9">
                    <w:rPr>
                      <w:rFonts w:ascii="Arial" w:hAnsi="Arial" w:cs="Arial"/>
                    </w:rPr>
                    <w:t>Verhandlungsmacht der Lieferanten</w:t>
                  </w:r>
                </w:p>
              </w:txbxContent>
            </v:textbox>
          </v:rect>
        </w:pict>
      </w:r>
    </w:p>
    <w:p w:rsidR="003B6F24" w:rsidRDefault="003B6F24" w:rsidP="003B6F24"/>
    <w:p w:rsidR="003B6F24" w:rsidRDefault="00AF6448" w:rsidP="003B6F24">
      <w:r>
        <w:rPr>
          <w:noProof/>
          <w:lang w:eastAsia="de-DE"/>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31" type="#_x0000_t66" style="position:absolute;margin-left:232.4pt;margin-top:2.3pt;width:35.8pt;height:34.3pt;z-index:251665408" fillcolor="#a5a5a5"/>
        </w:pict>
      </w:r>
      <w:r>
        <w:rPr>
          <w:noProof/>
          <w:lang w:eastAsia="de-DE"/>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2" type="#_x0000_t13" style="position:absolute;margin-left:121pt;margin-top:2.3pt;width:28.35pt;height:34.3pt;z-index:251666432" fillcolor="#a5a5a5"/>
        </w:pict>
      </w:r>
    </w:p>
    <w:p w:rsidR="003B6F24" w:rsidRDefault="003B6F24" w:rsidP="003B6F24"/>
    <w:p w:rsidR="003B6F24" w:rsidRDefault="003B6F24" w:rsidP="003B6F24"/>
    <w:p w:rsidR="003B6F24" w:rsidRDefault="003B6F24" w:rsidP="003B6F24"/>
    <w:p w:rsidR="003B6F24" w:rsidRDefault="00AF6448" w:rsidP="003B6F24">
      <w:r>
        <w:rPr>
          <w:noProof/>
          <w:lang w:eastAsia="de-DE"/>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33" type="#_x0000_t68" style="position:absolute;margin-left:169.6pt;margin-top:9.1pt;width:38.25pt;height:22.6pt;z-index:251667456" fillcolor="#a5a5a5">
            <v:textbox style="layout-flow:vertical-ideographic"/>
          </v:shape>
        </w:pict>
      </w:r>
    </w:p>
    <w:p w:rsidR="003B6F24" w:rsidRDefault="003B6F24" w:rsidP="003B6F24"/>
    <w:p w:rsidR="003B6F24" w:rsidRPr="00431C4E" w:rsidRDefault="00AF6448" w:rsidP="003B6F24">
      <w:r>
        <w:rPr>
          <w:noProof/>
          <w:lang w:eastAsia="de-DE"/>
        </w:rPr>
        <w:pict>
          <v:rect id="_x0000_s1034" style="position:absolute;margin-left:101.6pt;margin-top:6.4pt;width:166.6pt;height:38.9pt;z-index:251668480">
            <v:shadow on="t" opacity=".5" offset="6pt,-6pt"/>
            <v:textbox>
              <w:txbxContent>
                <w:p w:rsidR="003B6F24" w:rsidRPr="00564DD9" w:rsidRDefault="003B6F24" w:rsidP="003B6F24">
                  <w:pPr>
                    <w:jc w:val="center"/>
                    <w:rPr>
                      <w:rFonts w:ascii="Arial" w:hAnsi="Arial" w:cs="Arial"/>
                    </w:rPr>
                  </w:pPr>
                  <w:r w:rsidRPr="00564DD9">
                    <w:rPr>
                      <w:rFonts w:ascii="Arial" w:hAnsi="Arial" w:cs="Arial"/>
                    </w:rPr>
                    <w:t xml:space="preserve">Bedrohung </w:t>
                  </w:r>
                </w:p>
                <w:p w:rsidR="003B6F24" w:rsidRPr="00564DD9" w:rsidRDefault="003B6F24" w:rsidP="003B6F24">
                  <w:pPr>
                    <w:jc w:val="center"/>
                    <w:rPr>
                      <w:rFonts w:ascii="Arial" w:hAnsi="Arial" w:cs="Arial"/>
                    </w:rPr>
                  </w:pPr>
                  <w:r w:rsidRPr="00564DD9">
                    <w:rPr>
                      <w:rFonts w:ascii="Arial" w:hAnsi="Arial" w:cs="Arial"/>
                    </w:rPr>
                    <w:t>Ersatzprodukte (Substitute)</w:t>
                  </w:r>
                </w:p>
              </w:txbxContent>
            </v:textbox>
          </v:rect>
        </w:pict>
      </w:r>
    </w:p>
    <w:p w:rsidR="003B6F24" w:rsidRDefault="003B6F24" w:rsidP="003B6F24">
      <w:pPr>
        <w:pStyle w:val="Textkrper"/>
      </w:pPr>
    </w:p>
    <w:p w:rsidR="003B6F24" w:rsidRDefault="003B6F24" w:rsidP="003B6F24">
      <w:pPr>
        <w:pStyle w:val="Textkrper"/>
      </w:pPr>
    </w:p>
    <w:p w:rsidR="003B6F24" w:rsidRPr="000D712A" w:rsidRDefault="003B6F24" w:rsidP="003B6F24">
      <w:pPr>
        <w:pStyle w:val="Beschriftung"/>
        <w:rPr>
          <w:b w:val="0"/>
          <w:color w:val="auto"/>
          <w:sz w:val="16"/>
          <w:szCs w:val="16"/>
        </w:rPr>
      </w:pPr>
      <w:r w:rsidRPr="00B66A69">
        <w:rPr>
          <w:b w:val="0"/>
          <w:color w:val="auto"/>
          <w:sz w:val="16"/>
          <w:szCs w:val="16"/>
        </w:rPr>
        <w:t>Abbildung:</w:t>
      </w:r>
      <w:r>
        <w:rPr>
          <w:b w:val="0"/>
          <w:color w:val="auto"/>
          <w:sz w:val="16"/>
          <w:szCs w:val="16"/>
        </w:rPr>
        <w:t xml:space="preserve"> </w:t>
      </w:r>
      <w:r w:rsidRPr="00B66A69">
        <w:rPr>
          <w:b w:val="0"/>
          <w:color w:val="auto"/>
          <w:sz w:val="16"/>
          <w:szCs w:val="16"/>
        </w:rPr>
        <w:t>Fünf</w:t>
      </w:r>
      <w:r>
        <w:rPr>
          <w:b w:val="0"/>
          <w:color w:val="auto"/>
          <w:sz w:val="16"/>
          <w:szCs w:val="16"/>
        </w:rPr>
        <w:t>-</w:t>
      </w:r>
      <w:r w:rsidRPr="00B66A69">
        <w:rPr>
          <w:b w:val="0"/>
          <w:color w:val="auto"/>
          <w:sz w:val="16"/>
          <w:szCs w:val="16"/>
        </w:rPr>
        <w:t>Kräfte</w:t>
      </w:r>
      <w:r>
        <w:rPr>
          <w:b w:val="0"/>
          <w:color w:val="auto"/>
          <w:sz w:val="16"/>
          <w:szCs w:val="16"/>
        </w:rPr>
        <w:t>-</w:t>
      </w:r>
      <w:r w:rsidRPr="00B66A69">
        <w:rPr>
          <w:b w:val="0"/>
          <w:color w:val="auto"/>
          <w:sz w:val="16"/>
          <w:szCs w:val="16"/>
        </w:rPr>
        <w:t xml:space="preserve">Modell nach </w:t>
      </w:r>
      <w:r>
        <w:rPr>
          <w:b w:val="0"/>
          <w:color w:val="auto"/>
          <w:sz w:val="16"/>
          <w:szCs w:val="16"/>
        </w:rPr>
        <w:t xml:space="preserve">Michael </w:t>
      </w:r>
      <w:r w:rsidRPr="00B66A69">
        <w:rPr>
          <w:b w:val="0"/>
          <w:color w:val="auto"/>
          <w:sz w:val="16"/>
          <w:szCs w:val="16"/>
        </w:rPr>
        <w:t>E.</w:t>
      </w:r>
      <w:r>
        <w:rPr>
          <w:b w:val="0"/>
          <w:color w:val="auto"/>
          <w:sz w:val="16"/>
          <w:szCs w:val="16"/>
        </w:rPr>
        <w:t xml:space="preserve"> </w:t>
      </w:r>
      <w:r w:rsidRPr="00B66A69">
        <w:rPr>
          <w:b w:val="0"/>
          <w:color w:val="auto"/>
          <w:sz w:val="16"/>
          <w:szCs w:val="16"/>
        </w:rPr>
        <w:t>Porter</w:t>
      </w:r>
    </w:p>
    <w:p w:rsidR="003B6F24" w:rsidRPr="002130E4" w:rsidRDefault="003B6F24" w:rsidP="003B6F24">
      <w:pPr>
        <w:pStyle w:val="Listenabsatz1"/>
        <w:numPr>
          <w:ilvl w:val="0"/>
          <w:numId w:val="1"/>
        </w:numPr>
        <w:rPr>
          <w:b/>
        </w:rPr>
      </w:pPr>
      <w:r w:rsidRPr="002130E4">
        <w:rPr>
          <w:b/>
        </w:rPr>
        <w:t>Neue Konkurrenten</w:t>
      </w:r>
    </w:p>
    <w:p w:rsidR="003B6F24" w:rsidRDefault="003B6F24" w:rsidP="003B6F24">
      <w:pPr>
        <w:ind w:left="360"/>
      </w:pPr>
      <w:r>
        <w:t>Beim Eintritt in einen Markt wird der potentielle Wettbewerber in der Regel mit Markteintrittsbarrieren konfrontiert.</w:t>
      </w:r>
    </w:p>
    <w:p w:rsidR="003B6F24" w:rsidRDefault="000F75BC" w:rsidP="003B6F24">
      <w:pPr>
        <w:ind w:left="360"/>
      </w:pPr>
      <w:r>
        <w:t>Markteintrittsbarrieren:</w:t>
      </w:r>
    </w:p>
    <w:p w:rsidR="003B6F24" w:rsidRPr="000D712A" w:rsidRDefault="003B6F24" w:rsidP="003B6F24">
      <w:pPr>
        <w:pStyle w:val="Listenabsatz1"/>
        <w:numPr>
          <w:ilvl w:val="0"/>
          <w:numId w:val="2"/>
        </w:numPr>
        <w:ind w:left="852" w:hanging="284"/>
        <w:rPr>
          <w:kern w:val="0"/>
          <w:lang w:val="de-AT"/>
        </w:rPr>
      </w:pPr>
      <w:proofErr w:type="spellStart"/>
      <w:r w:rsidRPr="009B13F7">
        <w:rPr>
          <w:kern w:val="0"/>
          <w:lang w:val="de-AT"/>
        </w:rPr>
        <w:t>Economies</w:t>
      </w:r>
      <w:proofErr w:type="spellEnd"/>
      <w:r w:rsidRPr="009B13F7">
        <w:rPr>
          <w:kern w:val="0"/>
          <w:lang w:val="de-AT"/>
        </w:rPr>
        <w:t xml:space="preserve"> </w:t>
      </w:r>
      <w:proofErr w:type="spellStart"/>
      <w:r w:rsidRPr="009B13F7">
        <w:rPr>
          <w:kern w:val="0"/>
          <w:lang w:val="de-AT"/>
        </w:rPr>
        <w:t>of</w:t>
      </w:r>
      <w:proofErr w:type="spellEnd"/>
      <w:r w:rsidRPr="009B13F7">
        <w:rPr>
          <w:kern w:val="0"/>
          <w:lang w:val="de-AT"/>
        </w:rPr>
        <w:t xml:space="preserve"> </w:t>
      </w:r>
      <w:proofErr w:type="spellStart"/>
      <w:r w:rsidRPr="009B13F7">
        <w:rPr>
          <w:kern w:val="0"/>
          <w:lang w:val="de-AT"/>
        </w:rPr>
        <w:t>Scale</w:t>
      </w:r>
      <w:proofErr w:type="spellEnd"/>
      <w:r w:rsidRPr="009B13F7">
        <w:rPr>
          <w:kern w:val="0"/>
          <w:lang w:val="de-AT"/>
        </w:rPr>
        <w:t xml:space="preserve"> </w:t>
      </w:r>
    </w:p>
    <w:p w:rsidR="003B6F24" w:rsidRDefault="003B6F24" w:rsidP="003B6F24">
      <w:pPr>
        <w:pStyle w:val="Listenabsatz1"/>
        <w:numPr>
          <w:ilvl w:val="0"/>
          <w:numId w:val="2"/>
        </w:numPr>
        <w:ind w:left="852" w:hanging="284"/>
        <w:rPr>
          <w:kern w:val="0"/>
          <w:lang w:val="de-AT"/>
        </w:rPr>
      </w:pPr>
      <w:r w:rsidRPr="007F67BF">
        <w:rPr>
          <w:kern w:val="0"/>
          <w:lang w:val="de-AT"/>
        </w:rPr>
        <w:t xml:space="preserve">Produktdifferenzierung </w:t>
      </w:r>
    </w:p>
    <w:p w:rsidR="000F7BC9" w:rsidRDefault="000F7BC9" w:rsidP="000F7BC9">
      <w:pPr>
        <w:pStyle w:val="Listenabsatz1"/>
        <w:ind w:left="852"/>
        <w:rPr>
          <w:kern w:val="0"/>
          <w:lang w:val="de-AT"/>
        </w:rPr>
      </w:pPr>
      <w:r>
        <w:rPr>
          <w:kern w:val="0"/>
          <w:lang w:val="de-AT"/>
        </w:rPr>
        <w:t>Die deutliche Abgrenzung zu Produkten der Konkurrenz</w:t>
      </w:r>
    </w:p>
    <w:p w:rsidR="000F7BC9" w:rsidRPr="000D712A" w:rsidRDefault="000F7BC9" w:rsidP="000F7BC9">
      <w:pPr>
        <w:pStyle w:val="Listenabsatz1"/>
        <w:ind w:left="852"/>
        <w:rPr>
          <w:kern w:val="0"/>
          <w:lang w:val="de-AT"/>
        </w:rPr>
      </w:pPr>
      <w:r>
        <w:rPr>
          <w:kern w:val="0"/>
          <w:lang w:val="de-AT"/>
        </w:rPr>
        <w:t>Diese Differenzierung kann im Bereich des Kernproduktes (technische Neuerungen) oder im Bereich des erweiterten Produktes(zusätzlicher Kundennutzen) sein</w:t>
      </w:r>
      <w:proofErr w:type="gramStart"/>
      <w:r>
        <w:rPr>
          <w:kern w:val="0"/>
          <w:lang w:val="de-AT"/>
        </w:rPr>
        <w:t>.(</w:t>
      </w:r>
      <w:proofErr w:type="gramEnd"/>
      <w:r>
        <w:rPr>
          <w:kern w:val="0"/>
          <w:lang w:val="de-AT"/>
        </w:rPr>
        <w:t xml:space="preserve">Formales Produkt=Design) </w:t>
      </w:r>
    </w:p>
    <w:p w:rsidR="003B6F24" w:rsidRPr="000D712A" w:rsidRDefault="003B6F24" w:rsidP="003B6F24">
      <w:pPr>
        <w:pStyle w:val="Listenabsatz1"/>
        <w:numPr>
          <w:ilvl w:val="0"/>
          <w:numId w:val="2"/>
        </w:numPr>
        <w:ind w:left="852" w:hanging="284"/>
        <w:rPr>
          <w:kern w:val="0"/>
          <w:lang w:val="de-AT"/>
        </w:rPr>
      </w:pPr>
      <w:r>
        <w:rPr>
          <w:kern w:val="0"/>
          <w:lang w:val="de-AT"/>
        </w:rPr>
        <w:t>Know-h</w:t>
      </w:r>
      <w:r w:rsidRPr="007F67BF">
        <w:rPr>
          <w:kern w:val="0"/>
          <w:lang w:val="de-AT"/>
        </w:rPr>
        <w:t>ow</w:t>
      </w:r>
    </w:p>
    <w:p w:rsidR="003B6F24" w:rsidRDefault="003B6F24" w:rsidP="003B6F24">
      <w:pPr>
        <w:pStyle w:val="Listenabsatz1"/>
        <w:numPr>
          <w:ilvl w:val="0"/>
          <w:numId w:val="2"/>
        </w:numPr>
        <w:ind w:left="852" w:hanging="284"/>
      </w:pPr>
      <w:r w:rsidRPr="007F67BF">
        <w:t xml:space="preserve">Zugang zu Vertriebskanälen </w:t>
      </w:r>
    </w:p>
    <w:p w:rsidR="000F7BC9" w:rsidRPr="007F67BF" w:rsidRDefault="000F7BC9" w:rsidP="000F7BC9">
      <w:pPr>
        <w:pStyle w:val="Listenabsatz1"/>
        <w:ind w:left="852"/>
      </w:pPr>
      <w:r>
        <w:t>Der Zugang kann für neue Mittbewerbe erschwert werden, durch vorhandene Verträgen mit Lieferanten und den damit verbundenen Auflagen</w:t>
      </w:r>
    </w:p>
    <w:p w:rsidR="003B6F24" w:rsidRPr="002130E4" w:rsidRDefault="003B6F24" w:rsidP="003B6F24">
      <w:pPr>
        <w:rPr>
          <w:b/>
        </w:rPr>
      </w:pPr>
    </w:p>
    <w:p w:rsidR="003B6F24" w:rsidRDefault="003B6F24" w:rsidP="003B6F24">
      <w:pPr>
        <w:pStyle w:val="Listenabsatz1"/>
        <w:numPr>
          <w:ilvl w:val="0"/>
          <w:numId w:val="1"/>
        </w:numPr>
        <w:rPr>
          <w:b/>
        </w:rPr>
      </w:pPr>
      <w:r w:rsidRPr="002130E4">
        <w:rPr>
          <w:b/>
        </w:rPr>
        <w:t>Die Ver</w:t>
      </w:r>
      <w:r>
        <w:rPr>
          <w:b/>
        </w:rPr>
        <w:t>handlungsmacht</w:t>
      </w:r>
      <w:r w:rsidRPr="002130E4">
        <w:rPr>
          <w:b/>
        </w:rPr>
        <w:t xml:space="preserve"> der Kunden</w:t>
      </w:r>
    </w:p>
    <w:p w:rsidR="000F7BC9" w:rsidRDefault="000F7BC9" w:rsidP="000F7BC9">
      <w:pPr>
        <w:pStyle w:val="Listenabsatz1"/>
        <w:ind w:left="360"/>
        <w:rPr>
          <w:b/>
        </w:rPr>
      </w:pPr>
    </w:p>
    <w:p w:rsidR="000F7BC9" w:rsidRDefault="000F7BC9" w:rsidP="000F7BC9">
      <w:pPr>
        <w:ind w:left="360"/>
      </w:pPr>
      <w:r>
        <w:t>Kunden können eine Branche beeinflussen, Preise drücken, höhere Qualität verlangen oder Wettbewerber gegeneinander ausspielen.</w:t>
      </w:r>
    </w:p>
    <w:p w:rsidR="00F56097" w:rsidRPr="002130E4" w:rsidRDefault="00F56097" w:rsidP="000F7BC9">
      <w:pPr>
        <w:ind w:left="360"/>
      </w:pPr>
      <w:r>
        <w:t>Diese Möglichkeit besteht immer dann, wenn der Kunde zwischen mehreren Lieferanten auswählen kann (Siehe Punkt 4), oder wenn der Kunde eine gewisse Größe hat.</w:t>
      </w:r>
    </w:p>
    <w:p w:rsidR="003B6F24" w:rsidRPr="002130E4" w:rsidRDefault="003B6F24" w:rsidP="003B6F24">
      <w:pPr>
        <w:rPr>
          <w:b/>
        </w:rPr>
      </w:pPr>
    </w:p>
    <w:p w:rsidR="003B6F24" w:rsidRDefault="003B6F24" w:rsidP="003B6F24">
      <w:pPr>
        <w:pStyle w:val="Listenabsatz1"/>
        <w:numPr>
          <w:ilvl w:val="0"/>
          <w:numId w:val="1"/>
        </w:numPr>
        <w:rPr>
          <w:b/>
        </w:rPr>
      </w:pPr>
      <w:r w:rsidRPr="002130E4">
        <w:rPr>
          <w:b/>
        </w:rPr>
        <w:t>Verhandlungsmacht der Lieferanten</w:t>
      </w:r>
    </w:p>
    <w:p w:rsidR="00F56097" w:rsidRDefault="00F56097" w:rsidP="00F56097">
      <w:pPr>
        <w:pStyle w:val="Listenabsatz1"/>
        <w:ind w:left="360"/>
        <w:rPr>
          <w:b/>
        </w:rPr>
      </w:pPr>
    </w:p>
    <w:p w:rsidR="00F56097" w:rsidRDefault="00F56097" w:rsidP="00F56097">
      <w:pPr>
        <w:ind w:left="360"/>
      </w:pPr>
      <w:r>
        <w:t>Je unwichtiger die Branche für den Lieferanten, bzw. je wichtiger der Lieferant für die Branche, desto größer die Verhandlungsmacht der Lieferanten.</w:t>
      </w:r>
    </w:p>
    <w:p w:rsidR="00F56097" w:rsidRPr="002130E4" w:rsidRDefault="00F56097" w:rsidP="00F56097">
      <w:pPr>
        <w:ind w:left="360"/>
      </w:pPr>
      <w:r>
        <w:t>Z.B.: Just-in-Time Lieferung</w:t>
      </w:r>
    </w:p>
    <w:p w:rsidR="003B6F24" w:rsidRDefault="003B6F24" w:rsidP="003B6F24"/>
    <w:p w:rsidR="003B6F24" w:rsidRDefault="003B6F24" w:rsidP="003B6F24">
      <w:pPr>
        <w:pStyle w:val="Listenabsatz1"/>
        <w:numPr>
          <w:ilvl w:val="0"/>
          <w:numId w:val="1"/>
        </w:numPr>
        <w:rPr>
          <w:b/>
        </w:rPr>
      </w:pPr>
      <w:r w:rsidRPr="002130E4">
        <w:rPr>
          <w:b/>
        </w:rPr>
        <w:t>Bedrohung durch Subs</w:t>
      </w:r>
      <w:r>
        <w:rPr>
          <w:b/>
        </w:rPr>
        <w:t>t</w:t>
      </w:r>
      <w:r w:rsidRPr="002130E4">
        <w:rPr>
          <w:b/>
        </w:rPr>
        <w:t>itute</w:t>
      </w:r>
    </w:p>
    <w:p w:rsidR="00F56097" w:rsidRDefault="00F56097" w:rsidP="00F56097">
      <w:pPr>
        <w:pStyle w:val="Listenabsatz1"/>
        <w:rPr>
          <w:b/>
        </w:rPr>
      </w:pPr>
    </w:p>
    <w:p w:rsidR="00F56097" w:rsidRPr="002130E4" w:rsidRDefault="00F56097" w:rsidP="00F56097">
      <w:pPr>
        <w:ind w:left="360"/>
      </w:pPr>
      <w:r>
        <w:t>Wenn der Kunde die Möglichkeit hat, ein Produkt durch ein gleichwertiges Produkt(Substitut) zu ersetzen.</w:t>
      </w:r>
    </w:p>
    <w:p w:rsidR="003B6F24" w:rsidRPr="00572373" w:rsidRDefault="003B6F24" w:rsidP="003B6F24">
      <w:pPr>
        <w:rPr>
          <w:b/>
        </w:rPr>
      </w:pPr>
    </w:p>
    <w:p w:rsidR="003B6F24" w:rsidRPr="002130E4" w:rsidRDefault="003B6F24" w:rsidP="003B6F24">
      <w:pPr>
        <w:pStyle w:val="Listenabsatz1"/>
        <w:numPr>
          <w:ilvl w:val="0"/>
          <w:numId w:val="1"/>
        </w:numPr>
        <w:rPr>
          <w:b/>
        </w:rPr>
      </w:pPr>
      <w:r w:rsidRPr="002130E4">
        <w:rPr>
          <w:b/>
        </w:rPr>
        <w:t>Konkurrenz innerhalb der Branche</w:t>
      </w:r>
    </w:p>
    <w:p w:rsidR="003B6F24" w:rsidRDefault="003B6F24" w:rsidP="003B6F24">
      <w:pPr>
        <w:rPr>
          <w:kern w:val="0"/>
          <w:lang w:val="de-AT"/>
        </w:rPr>
      </w:pPr>
    </w:p>
    <w:p w:rsidR="003B6F24" w:rsidRDefault="003B6F24" w:rsidP="003B6F24">
      <w:pPr>
        <w:rPr>
          <w:kern w:val="0"/>
          <w:lang w:val="de-AT"/>
        </w:rPr>
      </w:pPr>
      <w:r w:rsidRPr="003E3B37">
        <w:rPr>
          <w:kern w:val="0"/>
          <w:lang w:val="de-AT"/>
        </w:rPr>
        <w:t xml:space="preserve">Für die </w:t>
      </w:r>
      <w:r w:rsidRPr="003E3B37">
        <w:rPr>
          <w:b/>
          <w:kern w:val="0"/>
          <w:u w:val="single"/>
          <w:lang w:val="de-AT"/>
        </w:rPr>
        <w:t>Entwicklung einer Wettbewerbsstrategie</w:t>
      </w:r>
      <w:r w:rsidRPr="003E3B37">
        <w:rPr>
          <w:kern w:val="0"/>
          <w:lang w:val="de-AT"/>
        </w:rPr>
        <w:t xml:space="preserve"> ist die Ausprägung dieser 5 Kräfte entscheidend.</w:t>
      </w:r>
      <w:r>
        <w:rPr>
          <w:kern w:val="0"/>
          <w:lang w:val="de-AT"/>
        </w:rPr>
        <w:t xml:space="preserve"> </w:t>
      </w:r>
      <w:r w:rsidRPr="003E3B37">
        <w:rPr>
          <w:kern w:val="0"/>
          <w:lang w:val="de-AT"/>
        </w:rPr>
        <w:t xml:space="preserve">Das Unternehmen muss versuchen, einen strategischen Vorteil zu erreichen. Folgende Strategien sind denkbar und müssen gegenüber den Kunden </w:t>
      </w:r>
      <w:r>
        <w:rPr>
          <w:kern w:val="0"/>
          <w:lang w:val="de-AT"/>
        </w:rPr>
        <w:t xml:space="preserve">kommuniziert </w:t>
      </w:r>
      <w:r w:rsidRPr="003E3B37">
        <w:rPr>
          <w:kern w:val="0"/>
          <w:lang w:val="de-AT"/>
        </w:rPr>
        <w:t>werden:</w:t>
      </w:r>
    </w:p>
    <w:p w:rsidR="003B6F24" w:rsidRPr="003E3B37" w:rsidRDefault="003B6F24" w:rsidP="003B6F24">
      <w:pPr>
        <w:rPr>
          <w:kern w:val="0"/>
          <w:lang w:val="de-AT"/>
        </w:rPr>
      </w:pPr>
    </w:p>
    <w:p w:rsidR="003B6F24" w:rsidRPr="00F56097" w:rsidRDefault="003B6F24" w:rsidP="003B6F24">
      <w:pPr>
        <w:pStyle w:val="Listenabsatz1"/>
        <w:numPr>
          <w:ilvl w:val="0"/>
          <w:numId w:val="3"/>
        </w:numPr>
        <w:rPr>
          <w:kern w:val="0"/>
          <w:lang w:val="de-AT"/>
        </w:rPr>
      </w:pPr>
      <w:r w:rsidRPr="003E3B37">
        <w:rPr>
          <w:b/>
          <w:kern w:val="0"/>
          <w:lang w:val="de-AT"/>
        </w:rPr>
        <w:t>Preisführerschaft</w:t>
      </w:r>
    </w:p>
    <w:p w:rsidR="00F56097" w:rsidRDefault="00F56097" w:rsidP="00F56097">
      <w:pPr>
        <w:pStyle w:val="Listenabsatz1"/>
        <w:rPr>
          <w:b/>
          <w:kern w:val="0"/>
          <w:lang w:val="de-AT"/>
        </w:rPr>
      </w:pPr>
    </w:p>
    <w:p w:rsidR="00F56097" w:rsidRPr="000D712A" w:rsidRDefault="00F56097" w:rsidP="00F56097">
      <w:pPr>
        <w:ind w:left="360"/>
        <w:rPr>
          <w:kern w:val="0"/>
          <w:lang w:val="de-AT"/>
        </w:rPr>
      </w:pPr>
      <w:r>
        <w:rPr>
          <w:kern w:val="0"/>
          <w:lang w:val="de-AT"/>
        </w:rPr>
        <w:t xml:space="preserve">Durch zunehmende Anzahl der Anbieter, steigt der Wettbewerbsdruck. Die Marktform ist entscheidend. </w:t>
      </w:r>
      <w:proofErr w:type="spellStart"/>
      <w:r>
        <w:rPr>
          <w:kern w:val="0"/>
          <w:lang w:val="de-AT"/>
        </w:rPr>
        <w:t>Polypol</w:t>
      </w:r>
      <w:proofErr w:type="spellEnd"/>
      <w:r>
        <w:rPr>
          <w:kern w:val="0"/>
          <w:lang w:val="de-AT"/>
        </w:rPr>
        <w:t xml:space="preserve"> ist die unattraktivste Marktform</w:t>
      </w:r>
    </w:p>
    <w:p w:rsidR="003B6F24" w:rsidRPr="000D712A" w:rsidRDefault="003B6F24" w:rsidP="003B6F24">
      <w:pPr>
        <w:pStyle w:val="Listenabsatz1"/>
        <w:ind w:left="360"/>
        <w:rPr>
          <w:kern w:val="0"/>
          <w:lang w:val="de-AT"/>
        </w:rPr>
      </w:pPr>
    </w:p>
    <w:p w:rsidR="003B6F24" w:rsidRDefault="003B6F24" w:rsidP="003B6F24">
      <w:pPr>
        <w:pStyle w:val="Listenabsatz1"/>
        <w:numPr>
          <w:ilvl w:val="0"/>
          <w:numId w:val="3"/>
        </w:numPr>
        <w:rPr>
          <w:kern w:val="0"/>
          <w:lang w:val="de-AT"/>
        </w:rPr>
      </w:pPr>
      <w:r w:rsidRPr="003E3B37">
        <w:rPr>
          <w:b/>
          <w:kern w:val="0"/>
          <w:lang w:val="de-AT"/>
        </w:rPr>
        <w:t>Qualitätsführerschaft</w:t>
      </w:r>
      <w:r>
        <w:rPr>
          <w:kern w:val="0"/>
          <w:lang w:val="de-AT"/>
        </w:rPr>
        <w:t xml:space="preserve"> (und </w:t>
      </w:r>
      <w:r w:rsidRPr="003E3B37">
        <w:rPr>
          <w:b/>
          <w:kern w:val="0"/>
          <w:lang w:val="de-AT"/>
        </w:rPr>
        <w:t>Technologieführerschaft</w:t>
      </w:r>
      <w:r>
        <w:rPr>
          <w:kern w:val="0"/>
          <w:lang w:val="de-AT"/>
        </w:rPr>
        <w:t xml:space="preserve">) </w:t>
      </w:r>
    </w:p>
    <w:p w:rsidR="003B6F24" w:rsidRPr="000D712A" w:rsidRDefault="003B6F24" w:rsidP="003B6F24">
      <w:pPr>
        <w:pStyle w:val="Listenabsatz1"/>
        <w:ind w:left="360"/>
        <w:rPr>
          <w:kern w:val="0"/>
          <w:lang w:val="de-AT"/>
        </w:rPr>
      </w:pPr>
    </w:p>
    <w:p w:rsidR="003B6F24" w:rsidRDefault="003B6F24" w:rsidP="003B6F24">
      <w:pPr>
        <w:pStyle w:val="Listenabsatz1"/>
        <w:numPr>
          <w:ilvl w:val="0"/>
          <w:numId w:val="3"/>
        </w:numPr>
        <w:rPr>
          <w:b/>
          <w:kern w:val="0"/>
          <w:lang w:val="de-AT"/>
        </w:rPr>
      </w:pPr>
      <w:r w:rsidRPr="003E3B37">
        <w:rPr>
          <w:b/>
          <w:kern w:val="0"/>
          <w:lang w:val="de-AT"/>
        </w:rPr>
        <w:t>Konzentration auf Schwerpunkte</w:t>
      </w:r>
    </w:p>
    <w:p w:rsidR="003B6F24" w:rsidRPr="000D712A" w:rsidRDefault="003B6F24" w:rsidP="003B6F24">
      <w:pPr>
        <w:pStyle w:val="Listenabsatz1"/>
        <w:ind w:left="360"/>
        <w:rPr>
          <w:b/>
          <w:kern w:val="0"/>
          <w:lang w:val="de-AT"/>
        </w:rPr>
      </w:pPr>
    </w:p>
    <w:p w:rsidR="003B6F24" w:rsidRDefault="003B6F24" w:rsidP="003B6F24">
      <w:pPr>
        <w:pStyle w:val="Listenabsatz1"/>
        <w:numPr>
          <w:ilvl w:val="0"/>
          <w:numId w:val="3"/>
        </w:numPr>
        <w:rPr>
          <w:b/>
          <w:kern w:val="0"/>
          <w:lang w:val="de-AT"/>
        </w:rPr>
      </w:pPr>
      <w:r w:rsidRPr="00BB15A4">
        <w:rPr>
          <w:b/>
          <w:kern w:val="0"/>
          <w:lang w:val="de-AT"/>
        </w:rPr>
        <w:t>Differenzierung</w:t>
      </w:r>
    </w:p>
    <w:p w:rsidR="003B6F24" w:rsidRDefault="003B6F24" w:rsidP="003B6F24">
      <w:pPr>
        <w:pStyle w:val="Listenabsatz1"/>
        <w:rPr>
          <w:b/>
          <w:kern w:val="0"/>
          <w:lang w:val="de-AT"/>
        </w:rPr>
      </w:pPr>
    </w:p>
    <w:p w:rsidR="003B6F24" w:rsidRDefault="003B6F24" w:rsidP="003B6F24">
      <w:pPr>
        <w:pStyle w:val="Listenabsatz1"/>
        <w:rPr>
          <w:b/>
          <w:kern w:val="0"/>
          <w:lang w:val="de-AT"/>
        </w:rPr>
      </w:pPr>
    </w:p>
    <w:p w:rsidR="0086222A" w:rsidRDefault="0086222A"/>
    <w:sectPr w:rsidR="0086222A" w:rsidSect="0086222A">
      <w:headerReference w:type="default" r:id="rId7"/>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549" w:rsidRDefault="00AB2549" w:rsidP="003B6F24">
      <w:r>
        <w:separator/>
      </w:r>
    </w:p>
  </w:endnote>
  <w:endnote w:type="continuationSeparator" w:id="0">
    <w:p w:rsidR="00AB2549" w:rsidRDefault="00AB2549" w:rsidP="003B6F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549" w:rsidRDefault="00AB2549" w:rsidP="003B6F24">
      <w:r>
        <w:separator/>
      </w:r>
    </w:p>
  </w:footnote>
  <w:footnote w:type="continuationSeparator" w:id="0">
    <w:p w:rsidR="00AB2549" w:rsidRDefault="00AB2549" w:rsidP="003B6F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F24" w:rsidRDefault="00AF6448">
    <w:pPr>
      <w:pStyle w:val="Kopfzeile"/>
    </w:pPr>
    <w:r>
      <w:rPr>
        <w:noProof/>
        <w:lang w:eastAsia="zh-TW"/>
      </w:rPr>
      <w:pict>
        <v:shapetype id="_x0000_t202" coordsize="21600,21600" o:spt="202" path="m,l,21600r21600,l21600,xe">
          <v:stroke joinstyle="miter"/>
          <v:path gradientshapeok="t" o:connecttype="rect"/>
        </v:shapetype>
        <v:shape id="_x0000_s2050" type="#_x0000_t202" style="position:absolute;margin-left:0;margin-top:0;width:468pt;height:13.45pt;z-index:251661312;mso-width-percent:1000;mso-position-horizontal:left;mso-position-horizontal-relative:margin;mso-position-vertical:center;mso-position-vertical-relative:top-margin-area;mso-width-percent:1000;mso-width-relative:margin;v-text-anchor:middle" o:allowincell="f" filled="f" stroked="f">
          <v:textbox style="mso-fit-shape-to-text:t" inset=",0,,0">
            <w:txbxContent>
              <w:sdt>
                <w:sdtPr>
                  <w:alias w:val="Titel"/>
                  <w:id w:val="78679243"/>
                  <w:placeholder>
                    <w:docPart w:val="3F0CE88154C74AF28AECEF76A0ACA2EA"/>
                  </w:placeholder>
                  <w:dataBinding w:prefixMappings="xmlns:ns0='http://schemas.openxmlformats.org/package/2006/metadata/core-properties' xmlns:ns1='http://purl.org/dc/elements/1.1/'" w:xpath="/ns0:coreProperties[1]/ns1:title[1]" w:storeItemID="{6C3C8BC8-F283-45AE-878A-BAB7291924A1}"/>
                  <w:text/>
                </w:sdtPr>
                <w:sdtContent>
                  <w:p w:rsidR="003B6F24" w:rsidRDefault="003B6F24">
                    <w:r>
                      <w:t>Marktanalyse</w:t>
                    </w:r>
                  </w:p>
                </w:sdtContent>
              </w:sdt>
            </w:txbxContent>
          </v:textbox>
          <w10:wrap anchorx="margin" anchory="margin"/>
        </v:shape>
      </w:pict>
    </w:r>
    <w:r>
      <w:rPr>
        <w:noProof/>
        <w:lang w:eastAsia="zh-TW"/>
      </w:rPr>
      <w:pict>
        <v:shape id="_x0000_s2049" type="#_x0000_t202" style="position:absolute;margin-left:0;margin-top:0;width:1in;height:13.45pt;z-index:251660288;mso-width-percent:1000;mso-position-horizontal:left;mso-position-horizontal-relative:page;mso-position-vertical:center;mso-position-vertical-relative:top-margin-area;mso-width-percent:1000;mso-width-relative:left-margin-area;v-text-anchor:middle" o:allowincell="f" fillcolor="#4f81bd [3204]" stroked="f">
          <v:textbox style="mso-fit-shape-to-text:t" inset=",0,,0">
            <w:txbxContent>
              <w:p w:rsidR="003B6F24" w:rsidRDefault="00AF6448">
                <w:pPr>
                  <w:jc w:val="right"/>
                  <w:rPr>
                    <w:color w:val="FFFFFF" w:themeColor="background1"/>
                  </w:rPr>
                </w:pPr>
                <w:fldSimple w:instr=" PAGE   \* MERGEFORMAT ">
                  <w:r w:rsidR="00F56097" w:rsidRPr="00F56097">
                    <w:rPr>
                      <w:noProof/>
                      <w:color w:val="FFFFFF" w:themeColor="background1"/>
                    </w:rPr>
                    <w:t>2</w:t>
                  </w:r>
                </w:fldSimple>
              </w:p>
            </w:txbxContent>
          </v:textbox>
          <w10:wrap anchorx="page"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F69DC"/>
    <w:multiLevelType w:val="hybridMultilevel"/>
    <w:tmpl w:val="7540B210"/>
    <w:lvl w:ilvl="0" w:tplc="0C07000F">
      <w:start w:val="1"/>
      <w:numFmt w:val="decimal"/>
      <w:lvlText w:val="%1."/>
      <w:lvlJc w:val="left"/>
      <w:pPr>
        <w:ind w:left="360" w:hanging="360"/>
      </w:pPr>
      <w:rPr>
        <w:rFonts w:cs="Times New Roman" w:hint="default"/>
      </w:rPr>
    </w:lvl>
    <w:lvl w:ilvl="1" w:tplc="0C070019">
      <w:start w:val="1"/>
      <w:numFmt w:val="lowerLetter"/>
      <w:lvlText w:val="%2."/>
      <w:lvlJc w:val="left"/>
      <w:pPr>
        <w:ind w:left="1080" w:hanging="360"/>
      </w:pPr>
      <w:rPr>
        <w:rFonts w:cs="Times New Roman"/>
      </w:rPr>
    </w:lvl>
    <w:lvl w:ilvl="2" w:tplc="0C07001B" w:tentative="1">
      <w:start w:val="1"/>
      <w:numFmt w:val="lowerRoman"/>
      <w:lvlText w:val="%3."/>
      <w:lvlJc w:val="right"/>
      <w:pPr>
        <w:ind w:left="1800" w:hanging="180"/>
      </w:pPr>
      <w:rPr>
        <w:rFonts w:cs="Times New Roman"/>
      </w:rPr>
    </w:lvl>
    <w:lvl w:ilvl="3" w:tplc="0C07000F" w:tentative="1">
      <w:start w:val="1"/>
      <w:numFmt w:val="decimal"/>
      <w:lvlText w:val="%4."/>
      <w:lvlJc w:val="left"/>
      <w:pPr>
        <w:ind w:left="2520" w:hanging="360"/>
      </w:pPr>
      <w:rPr>
        <w:rFonts w:cs="Times New Roman"/>
      </w:rPr>
    </w:lvl>
    <w:lvl w:ilvl="4" w:tplc="0C070019" w:tentative="1">
      <w:start w:val="1"/>
      <w:numFmt w:val="lowerLetter"/>
      <w:lvlText w:val="%5."/>
      <w:lvlJc w:val="left"/>
      <w:pPr>
        <w:ind w:left="3240" w:hanging="360"/>
      </w:pPr>
      <w:rPr>
        <w:rFonts w:cs="Times New Roman"/>
      </w:rPr>
    </w:lvl>
    <w:lvl w:ilvl="5" w:tplc="0C07001B" w:tentative="1">
      <w:start w:val="1"/>
      <w:numFmt w:val="lowerRoman"/>
      <w:lvlText w:val="%6."/>
      <w:lvlJc w:val="right"/>
      <w:pPr>
        <w:ind w:left="3960" w:hanging="180"/>
      </w:pPr>
      <w:rPr>
        <w:rFonts w:cs="Times New Roman"/>
      </w:rPr>
    </w:lvl>
    <w:lvl w:ilvl="6" w:tplc="0C07000F" w:tentative="1">
      <w:start w:val="1"/>
      <w:numFmt w:val="decimal"/>
      <w:lvlText w:val="%7."/>
      <w:lvlJc w:val="left"/>
      <w:pPr>
        <w:ind w:left="4680" w:hanging="360"/>
      </w:pPr>
      <w:rPr>
        <w:rFonts w:cs="Times New Roman"/>
      </w:rPr>
    </w:lvl>
    <w:lvl w:ilvl="7" w:tplc="0C070019" w:tentative="1">
      <w:start w:val="1"/>
      <w:numFmt w:val="lowerLetter"/>
      <w:lvlText w:val="%8."/>
      <w:lvlJc w:val="left"/>
      <w:pPr>
        <w:ind w:left="5400" w:hanging="360"/>
      </w:pPr>
      <w:rPr>
        <w:rFonts w:cs="Times New Roman"/>
      </w:rPr>
    </w:lvl>
    <w:lvl w:ilvl="8" w:tplc="0C07001B" w:tentative="1">
      <w:start w:val="1"/>
      <w:numFmt w:val="lowerRoman"/>
      <w:lvlText w:val="%9."/>
      <w:lvlJc w:val="right"/>
      <w:pPr>
        <w:ind w:left="6120" w:hanging="180"/>
      </w:pPr>
      <w:rPr>
        <w:rFonts w:cs="Times New Roman"/>
      </w:rPr>
    </w:lvl>
  </w:abstractNum>
  <w:abstractNum w:abstractNumId="1">
    <w:nsid w:val="4429166C"/>
    <w:multiLevelType w:val="hybridMultilevel"/>
    <w:tmpl w:val="7BECA1B4"/>
    <w:lvl w:ilvl="0" w:tplc="0407000B">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nsid w:val="45B279E5"/>
    <w:multiLevelType w:val="hybridMultilevel"/>
    <w:tmpl w:val="DAEAD386"/>
    <w:lvl w:ilvl="0" w:tplc="0C07000B">
      <w:start w:val="1"/>
      <w:numFmt w:val="bullet"/>
      <w:lvlText w:val=""/>
      <w:lvlJc w:val="left"/>
      <w:pPr>
        <w:ind w:left="720" w:hanging="360"/>
      </w:pPr>
      <w:rPr>
        <w:rFonts w:ascii="Wingdings" w:hAnsi="Wingdings" w:hint="default"/>
      </w:rPr>
    </w:lvl>
    <w:lvl w:ilvl="1" w:tplc="B300AA9E">
      <w:numFmt w:val="bullet"/>
      <w:lvlText w:val="•"/>
      <w:lvlJc w:val="left"/>
      <w:pPr>
        <w:ind w:left="1440" w:hanging="360"/>
      </w:pPr>
      <w:rPr>
        <w:rFonts w:ascii="Times New Roman" w:eastAsia="Times New Roman" w:hAnsi="Times New Roman"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4BCE6ADE"/>
    <w:multiLevelType w:val="hybridMultilevel"/>
    <w:tmpl w:val="B2921846"/>
    <w:lvl w:ilvl="0" w:tplc="0C07000B">
      <w:start w:val="1"/>
      <w:numFmt w:val="bullet"/>
      <w:lvlText w:val=""/>
      <w:lvlJc w:val="left"/>
      <w:pPr>
        <w:ind w:left="360" w:hanging="360"/>
      </w:pPr>
      <w:rPr>
        <w:rFonts w:ascii="Wingdings" w:hAnsi="Wingdings" w:hint="default"/>
      </w:rPr>
    </w:lvl>
    <w:lvl w:ilvl="1" w:tplc="0C070003">
      <w:start w:val="1"/>
      <w:numFmt w:val="bullet"/>
      <w:lvlText w:val="o"/>
      <w:lvlJc w:val="left"/>
      <w:pPr>
        <w:ind w:left="1080" w:hanging="360"/>
      </w:pPr>
      <w:rPr>
        <w:rFonts w:ascii="Courier New" w:hAnsi="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3B6F24"/>
    <w:rsid w:val="00083EDE"/>
    <w:rsid w:val="000C4963"/>
    <w:rsid w:val="000F75BC"/>
    <w:rsid w:val="000F7BC9"/>
    <w:rsid w:val="001F4B85"/>
    <w:rsid w:val="003310F6"/>
    <w:rsid w:val="003B6F24"/>
    <w:rsid w:val="00463493"/>
    <w:rsid w:val="004E1E6A"/>
    <w:rsid w:val="006F02CB"/>
    <w:rsid w:val="007E29E6"/>
    <w:rsid w:val="00802305"/>
    <w:rsid w:val="0086222A"/>
    <w:rsid w:val="00873922"/>
    <w:rsid w:val="00A65848"/>
    <w:rsid w:val="00AB2549"/>
    <w:rsid w:val="00AF6448"/>
    <w:rsid w:val="00B64BB3"/>
    <w:rsid w:val="00BF7E1F"/>
    <w:rsid w:val="00CE7BCE"/>
    <w:rsid w:val="00CF4CCB"/>
    <w:rsid w:val="00D62BA9"/>
    <w:rsid w:val="00ED64DE"/>
    <w:rsid w:val="00F56097"/>
    <w:rsid w:val="00F92FD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B6F24"/>
    <w:pPr>
      <w:widowControl w:val="0"/>
      <w:suppressAutoHyphens/>
      <w:spacing w:after="0" w:line="240" w:lineRule="auto"/>
    </w:pPr>
    <w:rPr>
      <w:rFonts w:ascii="Times New Roman" w:eastAsia="Calibri" w:hAnsi="Times New Roman" w:cs="Times New Roman"/>
      <w:kern w:val="1"/>
      <w:szCs w:val="24"/>
      <w:lang w:val="de-DE"/>
    </w:rPr>
  </w:style>
  <w:style w:type="paragraph" w:styleId="berschrift1">
    <w:name w:val="heading 1"/>
    <w:basedOn w:val="Standard"/>
    <w:link w:val="berschrift1Zchn"/>
    <w:uiPriority w:val="99"/>
    <w:qFormat/>
    <w:rsid w:val="003B6F24"/>
    <w:pPr>
      <w:keepNext/>
      <w:spacing w:before="240" w:after="120"/>
      <w:outlineLvl w:val="0"/>
    </w:pPr>
    <w:rPr>
      <w:rFonts w:ascii="Arial" w:eastAsia="MS Gothic" w:hAnsi="Arial" w:cs="Tahoma"/>
      <w:b/>
      <w:bCs/>
      <w:sz w:val="24"/>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3B6F24"/>
    <w:rPr>
      <w:rFonts w:ascii="Arial" w:eastAsia="MS Gothic" w:hAnsi="Arial" w:cs="Tahoma"/>
      <w:b/>
      <w:bCs/>
      <w:kern w:val="1"/>
      <w:sz w:val="24"/>
      <w:szCs w:val="32"/>
      <w:lang w:val="de-DE"/>
    </w:rPr>
  </w:style>
  <w:style w:type="paragraph" w:styleId="Textkrper">
    <w:name w:val="Body Text"/>
    <w:basedOn w:val="Standard"/>
    <w:link w:val="TextkrperZchn"/>
    <w:uiPriority w:val="99"/>
    <w:semiHidden/>
    <w:rsid w:val="003B6F24"/>
    <w:pPr>
      <w:spacing w:after="227"/>
    </w:pPr>
  </w:style>
  <w:style w:type="character" w:customStyle="1" w:styleId="TextkrperZchn">
    <w:name w:val="Textkörper Zchn"/>
    <w:basedOn w:val="Absatz-Standardschriftart"/>
    <w:link w:val="Textkrper"/>
    <w:uiPriority w:val="99"/>
    <w:semiHidden/>
    <w:rsid w:val="003B6F24"/>
    <w:rPr>
      <w:rFonts w:ascii="Times New Roman" w:eastAsia="Calibri" w:hAnsi="Times New Roman" w:cs="Times New Roman"/>
      <w:kern w:val="1"/>
      <w:szCs w:val="24"/>
      <w:lang w:val="de-DE"/>
    </w:rPr>
  </w:style>
  <w:style w:type="paragraph" w:customStyle="1" w:styleId="Listenabsatz1">
    <w:name w:val="Listenabsatz1"/>
    <w:basedOn w:val="Standard"/>
    <w:rsid w:val="003B6F24"/>
    <w:pPr>
      <w:ind w:left="720"/>
      <w:contextualSpacing/>
    </w:pPr>
    <w:rPr>
      <w:rFonts w:eastAsia="Times New Roman"/>
    </w:rPr>
  </w:style>
  <w:style w:type="paragraph" w:styleId="Beschriftung">
    <w:name w:val="caption"/>
    <w:basedOn w:val="Standard"/>
    <w:next w:val="Standard"/>
    <w:qFormat/>
    <w:rsid w:val="003B6F24"/>
    <w:pPr>
      <w:spacing w:after="200"/>
    </w:pPr>
    <w:rPr>
      <w:rFonts w:eastAsia="Times New Roman"/>
      <w:b/>
      <w:bCs/>
      <w:color w:val="4F81BD"/>
      <w:sz w:val="18"/>
      <w:szCs w:val="18"/>
    </w:rPr>
  </w:style>
  <w:style w:type="paragraph" w:styleId="Kopfzeile">
    <w:name w:val="header"/>
    <w:basedOn w:val="Standard"/>
    <w:link w:val="KopfzeileZchn"/>
    <w:uiPriority w:val="99"/>
    <w:semiHidden/>
    <w:unhideWhenUsed/>
    <w:rsid w:val="003B6F24"/>
    <w:pPr>
      <w:tabs>
        <w:tab w:val="center" w:pos="4536"/>
        <w:tab w:val="right" w:pos="9072"/>
      </w:tabs>
    </w:pPr>
  </w:style>
  <w:style w:type="character" w:customStyle="1" w:styleId="KopfzeileZchn">
    <w:name w:val="Kopfzeile Zchn"/>
    <w:basedOn w:val="Absatz-Standardschriftart"/>
    <w:link w:val="Kopfzeile"/>
    <w:uiPriority w:val="99"/>
    <w:semiHidden/>
    <w:rsid w:val="003B6F24"/>
    <w:rPr>
      <w:rFonts w:ascii="Times New Roman" w:eastAsia="Calibri" w:hAnsi="Times New Roman" w:cs="Times New Roman"/>
      <w:kern w:val="1"/>
      <w:szCs w:val="24"/>
      <w:lang w:val="de-DE"/>
    </w:rPr>
  </w:style>
  <w:style w:type="paragraph" w:styleId="Fuzeile">
    <w:name w:val="footer"/>
    <w:basedOn w:val="Standard"/>
    <w:link w:val="FuzeileZchn"/>
    <w:uiPriority w:val="99"/>
    <w:semiHidden/>
    <w:unhideWhenUsed/>
    <w:rsid w:val="003B6F24"/>
    <w:pPr>
      <w:tabs>
        <w:tab w:val="center" w:pos="4536"/>
        <w:tab w:val="right" w:pos="9072"/>
      </w:tabs>
    </w:pPr>
  </w:style>
  <w:style w:type="character" w:customStyle="1" w:styleId="FuzeileZchn">
    <w:name w:val="Fußzeile Zchn"/>
    <w:basedOn w:val="Absatz-Standardschriftart"/>
    <w:link w:val="Fuzeile"/>
    <w:uiPriority w:val="99"/>
    <w:semiHidden/>
    <w:rsid w:val="003B6F24"/>
    <w:rPr>
      <w:rFonts w:ascii="Times New Roman" w:eastAsia="Calibri" w:hAnsi="Times New Roman" w:cs="Times New Roman"/>
      <w:kern w:val="1"/>
      <w:szCs w:val="24"/>
      <w:lang w:val="de-DE"/>
    </w:rPr>
  </w:style>
  <w:style w:type="paragraph" w:styleId="Sprechblasentext">
    <w:name w:val="Balloon Text"/>
    <w:basedOn w:val="Standard"/>
    <w:link w:val="SprechblasentextZchn"/>
    <w:uiPriority w:val="99"/>
    <w:semiHidden/>
    <w:unhideWhenUsed/>
    <w:rsid w:val="003B6F2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B6F24"/>
    <w:rPr>
      <w:rFonts w:ascii="Tahoma" w:eastAsia="Calibri" w:hAnsi="Tahoma" w:cs="Tahoma"/>
      <w:kern w:val="1"/>
      <w:sz w:val="16"/>
      <w:szCs w:val="16"/>
      <w:lang w:val="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F0CE88154C74AF28AECEF76A0ACA2EA"/>
        <w:category>
          <w:name w:val="Allgemein"/>
          <w:gallery w:val="placeholder"/>
        </w:category>
        <w:types>
          <w:type w:val="bbPlcHdr"/>
        </w:types>
        <w:behaviors>
          <w:behavior w:val="content"/>
        </w:behaviors>
        <w:guid w:val="{FB5D48C4-EC45-4C54-9560-3B3060C73028}"/>
      </w:docPartPr>
      <w:docPartBody>
        <w:p w:rsidR="00846524" w:rsidRDefault="009D75EC" w:rsidP="009D75EC">
          <w:pPr>
            <w:pStyle w:val="3F0CE88154C74AF28AECEF76A0ACA2EA"/>
          </w:pPr>
          <w:r>
            <w:rPr>
              <w:lang w:val="de-DE"/>
            </w:rPr>
            <w:t>[Geben Sie den Dokumenttitel ein]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9D75EC"/>
    <w:rsid w:val="00846524"/>
    <w:rsid w:val="009D75EC"/>
    <w:rsid w:val="00FB18F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4652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3F0CE88154C74AF28AECEF76A0ACA2EA">
    <w:name w:val="3F0CE88154C74AF28AECEF76A0ACA2EA"/>
    <w:rsid w:val="009D75E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2101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Marktanalyse</vt:lpstr>
    </vt:vector>
  </TitlesOfParts>
  <Company>Hewlett-Packard</Company>
  <LinksUpToDate>false</LinksUpToDate>
  <CharactersWithSpaces>2430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Marktanalyse</dc:title>
  <dc:creator>surfen</dc:creator>
  <cp:lastModifiedBy>Martin</cp:lastModifiedBy>
  <cp:revision>3</cp:revision>
  <dcterms:created xsi:type="dcterms:W3CDTF">2010-10-18T06:59:00Z</dcterms:created>
  <dcterms:modified xsi:type="dcterms:W3CDTF">2010-10-18T07:30:00Z</dcterms:modified>
</cp:coreProperties>
</file>